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(embedded systems</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engineer)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June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(Embedded systems engineer)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July</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color w:val="c00000"/>
          <w:sz w:val="22"/>
          <w:szCs w:val="22"/>
          <w:rtl w:val="0"/>
        </w:rPr>
        <w:t xml:space="preserve">04</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u w:val="single"/>
          <w:rtl w:val="0"/>
        </w:rPr>
        <w:t xml:space="preserve">Associate</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u w:val="single"/>
          <w:rtl w:val="0"/>
        </w:rPr>
        <w:t xml:space="preserve">Embedded systems Engineer)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 for one year. It can be extended depending on the satisfactory performance.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Roles &amp; 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Design, prototype and verify systems for various embedded applications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and maintain firmware and middleware for embedded platforms.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Create and manage documentation for active projects.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Interact with clients and help with the development of customized embedded solutions.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Test and debug embedded software and applications.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hardware and software specifications.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tools and techniques for testing and verification. </w:t>
        <w:tab/>
        <w:tab/>
        <w:tab/>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Sound knowledge of C/C++, Java, Python.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Good grasp of testing and debugging techniques and protocols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Working knowledge of Linux API, Windows API, and version control systems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Excellent knowledge of interface and network protocols.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be able to work in a team, and should be able to converse with young inventors in the company at IIT Ropar.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Remuneration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Suitable </w:t>
      </w:r>
      <w:r w:rsidDel="00000000" w:rsidR="00000000" w:rsidRPr="00000000">
        <w:rPr>
          <w:rFonts w:ascii="Times New Roman" w:cs="Times New Roman" w:eastAsia="Times New Roman" w:hAnsi="Times New Roman"/>
          <w:sz w:val="22"/>
          <w:szCs w:val="22"/>
          <w:rtl w:val="0"/>
        </w:rPr>
        <w:t xml:space="preserve">on-campus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accommodation may be provided, based on availability.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3">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04th July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4">
      <w:pPr>
        <w:widowControl w:val="0"/>
        <w:numPr>
          <w:ilvl w:val="0"/>
          <w:numId w:val="3"/>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5">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6">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IIT Ropar-TIF” in the subject of your email.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D">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E">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F">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(embedded system engineer)</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