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1F1F" w:rsidRDefault="009050DB">
      <w:pPr>
        <w:pStyle w:val="Heading1"/>
        <w:spacing w:before="81"/>
        <w:ind w:left="0"/>
        <w:rPr>
          <w:rFonts w:ascii="Arimo" w:eastAsia="Arimo" w:hAnsi="Arimo" w:cs="Arimo"/>
          <w:b w:val="0"/>
          <w:sz w:val="24"/>
          <w:szCs w:val="24"/>
        </w:rPr>
      </w:pPr>
      <w:r>
        <w:rPr>
          <w:rFonts w:ascii="Arimo" w:eastAsia="Arimo" w:hAnsi="Arimo" w:cs="Arimo"/>
          <w:b w:val="0"/>
          <w:sz w:val="24"/>
          <w:szCs w:val="24"/>
        </w:rPr>
        <w:t xml:space="preserve"> </w:t>
      </w:r>
    </w:p>
    <w:p w:rsidR="00BD1F1F" w:rsidRDefault="009050DB">
      <w:pPr>
        <w:pStyle w:val="Heading1"/>
        <w:spacing w:before="240" w:after="240"/>
        <w:ind w:left="0"/>
        <w:jc w:val="center"/>
        <w:rPr>
          <w:sz w:val="44"/>
          <w:szCs w:val="44"/>
        </w:rPr>
      </w:pPr>
      <w:r>
        <w:rPr>
          <w:sz w:val="44"/>
          <w:szCs w:val="44"/>
        </w:rPr>
        <w:t>INDIAN INSTITUTE OF TECHNOLOGY ROPAR</w:t>
      </w:r>
    </w:p>
    <w:p w:rsidR="00BD1F1F" w:rsidRDefault="009050DB">
      <w:pPr>
        <w:pStyle w:val="Heading1"/>
        <w:spacing w:before="240" w:after="240"/>
        <w:ind w:left="0"/>
        <w:jc w:val="center"/>
        <w:rPr>
          <w:color w:val="4027D9"/>
          <w:sz w:val="52"/>
          <w:szCs w:val="52"/>
        </w:rPr>
      </w:pPr>
      <w:bookmarkStart w:id="0" w:name="_heading=h.llvapm2gwgsm" w:colFirst="0" w:colLast="0"/>
      <w:bookmarkEnd w:id="0"/>
      <w:r>
        <w:rPr>
          <w:color w:val="4027D9"/>
          <w:sz w:val="52"/>
          <w:szCs w:val="52"/>
        </w:rPr>
        <w:t>ADMISSIONS-2024</w:t>
      </w:r>
    </w:p>
    <w:p w:rsidR="00237E77" w:rsidRDefault="00237E77">
      <w:pPr>
        <w:pStyle w:val="Heading1"/>
        <w:spacing w:before="81"/>
        <w:ind w:left="0"/>
        <w:jc w:val="center"/>
        <w:rPr>
          <w:color w:val="4027D9"/>
          <w:sz w:val="52"/>
          <w:szCs w:val="52"/>
        </w:rPr>
      </w:pPr>
      <w:r w:rsidRPr="00237E77">
        <w:rPr>
          <w:color w:val="4027D9"/>
          <w:sz w:val="52"/>
          <w:szCs w:val="52"/>
        </w:rPr>
        <w:t xml:space="preserve">under </w:t>
      </w:r>
    </w:p>
    <w:p w:rsidR="00BD1F1F" w:rsidRPr="00237E77" w:rsidRDefault="005E5C0A">
      <w:pPr>
        <w:pStyle w:val="Heading1"/>
        <w:spacing w:before="81"/>
        <w:ind w:left="0"/>
        <w:jc w:val="center"/>
        <w:rPr>
          <w:color w:val="4027D9"/>
          <w:sz w:val="52"/>
          <w:szCs w:val="52"/>
        </w:rPr>
      </w:pPr>
      <w:r>
        <w:rPr>
          <w:color w:val="4027D9"/>
          <w:sz w:val="52"/>
          <w:szCs w:val="52"/>
        </w:rPr>
        <w:t>Visvesva</w:t>
      </w:r>
      <w:r w:rsidR="00237E77" w:rsidRPr="00237E77">
        <w:rPr>
          <w:color w:val="4027D9"/>
          <w:sz w:val="52"/>
          <w:szCs w:val="52"/>
        </w:rPr>
        <w:t>raya Scheme</w:t>
      </w:r>
    </w:p>
    <w:p w:rsidR="00BD1F1F" w:rsidRDefault="00BD1F1F">
      <w:pPr>
        <w:pStyle w:val="Title"/>
        <w:ind w:left="0"/>
        <w:rPr>
          <w:rFonts w:ascii="Arimo" w:eastAsia="Arimo" w:hAnsi="Arimo" w:cs="Arimo"/>
          <w:sz w:val="24"/>
          <w:szCs w:val="24"/>
        </w:rPr>
      </w:pPr>
    </w:p>
    <w:p w:rsidR="00BD1F1F" w:rsidRDefault="00BD1F1F">
      <w:pPr>
        <w:pStyle w:val="Title"/>
        <w:ind w:left="0"/>
        <w:rPr>
          <w:rFonts w:ascii="Arimo" w:eastAsia="Arimo" w:hAnsi="Arimo" w:cs="Arimo"/>
          <w:sz w:val="24"/>
          <w:szCs w:val="24"/>
        </w:rPr>
      </w:pPr>
    </w:p>
    <w:p w:rsidR="00BD1F1F" w:rsidRDefault="00BD1F1F">
      <w:pPr>
        <w:pStyle w:val="Title"/>
        <w:ind w:left="0" w:right="-46"/>
        <w:rPr>
          <w:rFonts w:ascii="Arimo" w:eastAsia="Arimo" w:hAnsi="Arimo" w:cs="Arimo"/>
          <w:sz w:val="24"/>
          <w:szCs w:val="24"/>
        </w:rPr>
      </w:pPr>
    </w:p>
    <w:p w:rsidR="00BD1F1F" w:rsidRDefault="009050DB">
      <w:pPr>
        <w:pStyle w:val="Title"/>
        <w:ind w:left="0" w:right="-46"/>
        <w:rPr>
          <w:rFonts w:ascii="Arimo" w:eastAsia="Arimo" w:hAnsi="Arimo" w:cs="Arimo"/>
          <w:sz w:val="24"/>
          <w:szCs w:val="24"/>
        </w:rPr>
      </w:pPr>
      <w:r>
        <w:rPr>
          <w:rFonts w:ascii="Arimo" w:eastAsia="Arimo" w:hAnsi="Arimo" w:cs="Arimo"/>
          <w:noProof/>
          <w:sz w:val="24"/>
          <w:szCs w:val="24"/>
        </w:rPr>
        <w:drawing>
          <wp:inline distT="114300" distB="114300" distL="114300" distR="114300">
            <wp:extent cx="2447925" cy="2647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47925" cy="2647950"/>
                    </a:xfrm>
                    <a:prstGeom prst="rect">
                      <a:avLst/>
                    </a:prstGeom>
                    <a:ln/>
                  </pic:spPr>
                </pic:pic>
              </a:graphicData>
            </a:graphic>
          </wp:inline>
        </w:drawing>
      </w:r>
    </w:p>
    <w:p w:rsidR="00BD1F1F" w:rsidRDefault="00BD1F1F">
      <w:pPr>
        <w:pStyle w:val="Title"/>
        <w:ind w:left="0" w:right="-46"/>
        <w:rPr>
          <w:rFonts w:ascii="Arimo" w:eastAsia="Arimo" w:hAnsi="Arimo" w:cs="Arimo"/>
          <w:b/>
          <w:sz w:val="42"/>
          <w:szCs w:val="42"/>
        </w:rPr>
      </w:pPr>
    </w:p>
    <w:p w:rsidR="00BD1F1F" w:rsidRDefault="00BD1F1F">
      <w:pPr>
        <w:pStyle w:val="Title"/>
        <w:ind w:left="0" w:right="-46"/>
        <w:rPr>
          <w:rFonts w:ascii="Arimo" w:eastAsia="Arimo" w:hAnsi="Arimo" w:cs="Arimo"/>
          <w:b/>
          <w:sz w:val="42"/>
          <w:szCs w:val="42"/>
        </w:rPr>
      </w:pPr>
    </w:p>
    <w:p w:rsidR="00BD1F1F" w:rsidRDefault="00BD1F1F">
      <w:pPr>
        <w:pStyle w:val="Title"/>
        <w:ind w:left="0" w:right="-46"/>
        <w:rPr>
          <w:rFonts w:ascii="Arimo" w:eastAsia="Arimo" w:hAnsi="Arimo" w:cs="Arimo"/>
          <w:b/>
          <w:sz w:val="42"/>
          <w:szCs w:val="42"/>
        </w:rPr>
      </w:pPr>
    </w:p>
    <w:p w:rsidR="00BD1F1F" w:rsidRDefault="009050DB">
      <w:pPr>
        <w:pStyle w:val="Title"/>
        <w:ind w:left="0" w:right="-46"/>
        <w:rPr>
          <w:rFonts w:ascii="Arimo" w:eastAsia="Arimo" w:hAnsi="Arimo" w:cs="Arimo"/>
          <w:b/>
          <w:sz w:val="42"/>
          <w:szCs w:val="42"/>
        </w:rPr>
      </w:pPr>
      <w:r>
        <w:rPr>
          <w:rFonts w:ascii="Arimo" w:eastAsia="Arimo" w:hAnsi="Arimo" w:cs="Arimo"/>
          <w:b/>
          <w:sz w:val="42"/>
          <w:szCs w:val="42"/>
        </w:rPr>
        <w:t xml:space="preserve">Information Brochure </w:t>
      </w:r>
    </w:p>
    <w:p w:rsidR="00BD1F1F" w:rsidRDefault="009050DB">
      <w:pPr>
        <w:pStyle w:val="Title"/>
        <w:ind w:left="0" w:right="-46"/>
        <w:rPr>
          <w:rFonts w:ascii="Arimo" w:eastAsia="Arimo" w:hAnsi="Arimo" w:cs="Arimo"/>
          <w:b/>
          <w:sz w:val="42"/>
          <w:szCs w:val="42"/>
        </w:rPr>
      </w:pPr>
      <w:r>
        <w:rPr>
          <w:rFonts w:ascii="Arimo" w:eastAsia="Arimo" w:hAnsi="Arimo" w:cs="Arimo"/>
          <w:b/>
          <w:sz w:val="42"/>
          <w:szCs w:val="42"/>
        </w:rPr>
        <w:t>Ph.D. Admissions 2024-25</w:t>
      </w:r>
    </w:p>
    <w:p w:rsidR="00BD1F1F" w:rsidRDefault="00BD1F1F">
      <w:pPr>
        <w:pStyle w:val="Heading1"/>
        <w:spacing w:before="81"/>
        <w:ind w:left="0"/>
        <w:rPr>
          <w:rFonts w:ascii="Arimo" w:eastAsia="Arimo" w:hAnsi="Arimo" w:cs="Arimo"/>
          <w:sz w:val="42"/>
          <w:szCs w:val="42"/>
        </w:rPr>
      </w:pPr>
    </w:p>
    <w:p w:rsidR="00BD1F1F" w:rsidRDefault="009050DB">
      <w:pPr>
        <w:rPr>
          <w:rFonts w:ascii="Arimo" w:eastAsia="Arimo" w:hAnsi="Arimo" w:cs="Arimo"/>
          <w:sz w:val="24"/>
          <w:szCs w:val="24"/>
          <w:u w:val="single"/>
        </w:rPr>
      </w:pPr>
      <w:r>
        <w:br w:type="page"/>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lastRenderedPageBreak/>
        <w:t>About the Institute:</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Indian Institute of Technology Ropar started functioning from the academic year 2008­-2009 from the campus of IIT Delhi, the mentor institute. The foundation stone laying ceremony was held on 24 February 2009. The Indian Institute of Technology Ropar was initially registered under the Societies' Registration Act 1860 on 29 July 2009. Subsequently, the Institute has been established by the Act of Parliament namely, the Institutes of Technology Act (Amendment) Act 2012 (No. 34 of 2012). The Institute has shifted to its permanent campus in 2018 and currently operates from its permanent campus. The permanent campus of IIT Ropar is spread across 501 acres of land located at Birla Seed Farms, Rupnagar in the lap of nature at the banks of river Satluj. The Institute has been awarded the 5 Star GRIHA (Green Rating for Integrated Habitat Assessment) rating, one of the highest national ratings for Green Buildings. </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While the master plan is supposed to accommodate 10,000 students, the academic block is already set up for 2,500 students in the first phase. A total of 2,15,739 square meters of area is dedicated for academic and administration blocks along with accommodation for staff and faculty along with sports and hostel facilities for the students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All hostels are well furnished along with common rooms for recreational activities for each hostel. The campus also has airy common dining area. Naturally, there is no compromise with facilities regarding academics and laboratories for undertaking practical or doing some research. New state-of-the-art equipment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available for the students to use in labs. Apart from these academic facilities, other perks of being at IIT ROPAR include excellent sports facilities (different play fields for each sport, such as cricket, football, tennis, badminton, basketball, volleyball, etc.), utility block, student activity center (equipment and rooms for the various club activities and other student interest group activities), gymkhana, air-conditioned libraries with plethora of books, cafeterias, gymnasium, medical center with top notch 24 x 7 medical facilities.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Indian Institute of Technology Ropar is ranked 22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in the engineering category in NIRF 2022 (National Institutional Ranking Framework). IIT Ropar is committed to provide state-of-the-art technical education in a variety of fields. The Institute is facilitating transmission of knowledge in keeping with the latest developments in pedagogy. At present, the Institute offers the degree of Bachelor of Technology in Computer Science &amp; Engineering, Electrical Engineering, Mechanical Engineering, Civil Engineering, Chemical Engineering, Metallurgical &amp; Materials Engineering, and Mathematics &amp; Computing. It offers the MSc degree in Physics, Chemistry, and Mathematics. It offers the degree of Master of Technology in Computer Science and Engineering, Electrical Engineering, Mechanical Engineering, Chemical Engineering, Civil Engineering, Artificial Intelligence, and Biomedical Engineering. All the departments of the Institute offer a doctoral degree.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Institute has held 1</w:t>
      </w:r>
      <w:r w:rsidR="00F46FF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convocations so far. Presently the Institute has 1517 UG students, 526 PG students and 921 PhD students.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overall academic system of IIT Ropar is designed to provide science-based engineering education that will produce quality engineers and scientists. IIT Ropar has implemented a new curriculum from 2017. The curriculum provides broad based knowledge and simultaneously builds a temper for lifelong learning and exploration. A set of science and general engineering courses forms part of the syllabus of the first-year undergraduate students. These courses provide a foundation for further discipline specific topics. In addition to overhauling its UG programs, IIT Ropar has introduced new PG streams.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Career Development and Placement Cell, is actively involved in organizing practical training for the undergraduate students and has been playing a catalytic role in finding placements for its final year students. IIT Ropar has undertaken the task of redefining its vision and mission, and of putting a strategic plan to achieve them into action.</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IIT Ropar aims to promote research in interdisciplinary areas. The Institute also undertakes a number of research and consultancy projects that are sponsored by various funding agencies, including the </w:t>
      </w:r>
      <w:r>
        <w:rPr>
          <w:rFonts w:ascii="Times New Roman" w:eastAsia="Times New Roman" w:hAnsi="Times New Roman" w:cs="Times New Roman"/>
          <w:color w:val="000000"/>
          <w:sz w:val="24"/>
          <w:szCs w:val="24"/>
        </w:rPr>
        <w:lastRenderedPageBreak/>
        <w:t xml:space="preserve">Government and Industry. The Institute has taken major research activities in the fields of national importance, such as non­conventional energy, sensors, drug delivery, materials synthesis and their modification, image processing, cloud  networks, robotics, pattern recognition, renewable energy systems, microelectronics and nano­devices, mathematical biology, fluid dynamics, pure mathematics, quantum optics and quantum matter physics, ion beam physics, renewable energy, nanophotonics and metamaterials, surface patterning, sustainable energy, biomechanics, nanofluids, complex fluids, nanocomposites,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euro­cognition, financial mathematics and markets, phonetics, etc. The Institute provides ample funds to the departments and faculty members for the upgradation of laboratories and creation of research facilities. This has enabled our faculty members to take up research projects in frontier and emerging areas of science and technology.</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Institute has a counselling cell to monitor the mental well-being of the students. Its mission is to promote </w:t>
      </w:r>
      <w:r>
        <w:rPr>
          <w:rFonts w:ascii="Times New Roman" w:eastAsia="Times New Roman" w:hAnsi="Times New Roman" w:cs="Times New Roman"/>
          <w:sz w:val="24"/>
          <w:szCs w:val="24"/>
        </w:rPr>
        <w:t>well-being</w:t>
      </w:r>
      <w:r>
        <w:rPr>
          <w:rFonts w:ascii="Times New Roman" w:eastAsia="Times New Roman" w:hAnsi="Times New Roman" w:cs="Times New Roman"/>
          <w:color w:val="000000"/>
          <w:sz w:val="24"/>
          <w:szCs w:val="24"/>
        </w:rPr>
        <w:t xml:space="preserve">, aiding to develop better understanding of the self, to grow both intellectually and emotionally, to be more satisfied and productive and to improve the depth and quality of your life. To ensure sound mental health, we provide help in dealing with emotional and behavioural problems, such as guilt, anxiety, stress, lack of confidence, low self-esteem, depression and internet addiction of any sort, dependency, personal problems in </w:t>
      </w:r>
      <w:r>
        <w:rPr>
          <w:rFonts w:ascii="Times New Roman" w:eastAsia="Times New Roman" w:hAnsi="Times New Roman" w:cs="Times New Roman"/>
          <w:sz w:val="24"/>
          <w:szCs w:val="24"/>
        </w:rPr>
        <w:t xml:space="preserve">relationships, </w:t>
      </w:r>
      <w:r>
        <w:rPr>
          <w:rFonts w:ascii="Times New Roman" w:eastAsia="Times New Roman" w:hAnsi="Times New Roman" w:cs="Times New Roman"/>
          <w:color w:val="000000"/>
          <w:sz w:val="24"/>
          <w:szCs w:val="24"/>
        </w:rPr>
        <w:t xml:space="preserve">such as </w:t>
      </w:r>
      <w:r>
        <w:rPr>
          <w:rFonts w:ascii="Times New Roman" w:eastAsia="Times New Roman" w:hAnsi="Times New Roman" w:cs="Times New Roman"/>
          <w:sz w:val="24"/>
          <w:szCs w:val="24"/>
        </w:rPr>
        <w:t>codependency</w:t>
      </w:r>
      <w:r>
        <w:rPr>
          <w:rFonts w:ascii="Times New Roman" w:eastAsia="Times New Roman" w:hAnsi="Times New Roman" w:cs="Times New Roman"/>
          <w:color w:val="000000"/>
          <w:sz w:val="24"/>
          <w:szCs w:val="24"/>
        </w:rPr>
        <w:t xml:space="preserve">, rejection, </w:t>
      </w:r>
      <w:r>
        <w:rPr>
          <w:rFonts w:ascii="Times New Roman" w:eastAsia="Times New Roman" w:hAnsi="Times New Roman" w:cs="Times New Roman"/>
          <w:sz w:val="24"/>
          <w:szCs w:val="24"/>
        </w:rPr>
        <w:t>separation,</w:t>
      </w:r>
      <w:r>
        <w:rPr>
          <w:rFonts w:ascii="Times New Roman" w:eastAsia="Times New Roman" w:hAnsi="Times New Roman" w:cs="Times New Roman"/>
          <w:color w:val="000000"/>
          <w:sz w:val="24"/>
          <w:szCs w:val="24"/>
        </w:rPr>
        <w:t xml:space="preserve"> homesickness etc. Counselling Cell does fostering and inculcating life skills to make better adjustments and </w:t>
      </w:r>
      <w:r>
        <w:rPr>
          <w:rFonts w:ascii="Times New Roman" w:eastAsia="Times New Roman" w:hAnsi="Times New Roman" w:cs="Times New Roman"/>
          <w:sz w:val="24"/>
          <w:szCs w:val="24"/>
        </w:rPr>
        <w:t>enrich</w:t>
      </w:r>
      <w:r>
        <w:rPr>
          <w:rFonts w:ascii="Times New Roman" w:eastAsia="Times New Roman" w:hAnsi="Times New Roman" w:cs="Times New Roman"/>
          <w:color w:val="000000"/>
          <w:sz w:val="24"/>
          <w:szCs w:val="24"/>
        </w:rPr>
        <w:t xml:space="preserve"> healthy relationships.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campus of IIT Ropar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well equipped</w:t>
      </w:r>
      <w:r>
        <w:rPr>
          <w:rFonts w:ascii="Times New Roman" w:eastAsia="Times New Roman" w:hAnsi="Times New Roman" w:cs="Times New Roman"/>
          <w:color w:val="000000"/>
          <w:sz w:val="24"/>
          <w:szCs w:val="24"/>
        </w:rPr>
        <w:t xml:space="preserve"> with all required facilities. Classrooms fitted with multimedia, faculty offices and administrative </w:t>
      </w:r>
      <w:r>
        <w:rPr>
          <w:rFonts w:ascii="Times New Roman" w:eastAsia="Times New Roman" w:hAnsi="Times New Roman" w:cs="Times New Roman"/>
          <w:sz w:val="24"/>
          <w:szCs w:val="24"/>
        </w:rPr>
        <w:t>wings</w:t>
      </w:r>
      <w:r>
        <w:rPr>
          <w:rFonts w:ascii="Times New Roman" w:eastAsia="Times New Roman" w:hAnsi="Times New Roman" w:cs="Times New Roman"/>
          <w:color w:val="000000"/>
          <w:sz w:val="24"/>
          <w:szCs w:val="24"/>
        </w:rPr>
        <w:t xml:space="preserve"> are all in place. There are separate hostels for boys and girls. These hostels are equipped with modern mess units. Faculty recruitment, setting up of laboratories and other support facilities are done </w:t>
      </w:r>
      <w:r>
        <w:rPr>
          <w:rFonts w:ascii="Times New Roman" w:eastAsia="Times New Roman" w:hAnsi="Times New Roman" w:cs="Times New Roman"/>
          <w:sz w:val="24"/>
          <w:szCs w:val="24"/>
        </w:rPr>
        <w:t>on a continuous</w:t>
      </w:r>
      <w:r>
        <w:rPr>
          <w:rFonts w:ascii="Times New Roman" w:eastAsia="Times New Roman" w:hAnsi="Times New Roman" w:cs="Times New Roman"/>
          <w:color w:val="000000"/>
          <w:sz w:val="24"/>
          <w:szCs w:val="24"/>
        </w:rPr>
        <w:t xml:space="preserve"> basis to keep up with the progress.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sz w:val="24"/>
          <w:szCs w:val="24"/>
        </w:rPr>
        <w:t>The IIT</w:t>
      </w:r>
      <w:r>
        <w:rPr>
          <w:rFonts w:ascii="Times New Roman" w:eastAsia="Times New Roman" w:hAnsi="Times New Roman" w:cs="Times New Roman"/>
          <w:color w:val="000000"/>
          <w:sz w:val="24"/>
          <w:szCs w:val="24"/>
        </w:rPr>
        <w:t xml:space="preserve"> Ropar community has undertaken an important exercise of developing the Mission, Vision and Strategic Plan for the coming years. The exercise was carried out in active consultation with Indian Institute of Management Calcutta. A participative bottom up approach was followed in formulating the Mission, Vision and Strategic Plan. The Motto, Mission and Vision statements for IIT Ropar </w:t>
      </w:r>
      <w:r>
        <w:rPr>
          <w:rFonts w:ascii="Times New Roman" w:eastAsia="Times New Roman" w:hAnsi="Times New Roman" w:cs="Times New Roman"/>
          <w:sz w:val="24"/>
          <w:szCs w:val="24"/>
        </w:rPr>
        <w:t>are as</w:t>
      </w:r>
      <w:r>
        <w:rPr>
          <w:rFonts w:ascii="Times New Roman" w:eastAsia="Times New Roman" w:hAnsi="Times New Roman" w:cs="Times New Roman"/>
          <w:color w:val="000000"/>
          <w:sz w:val="24"/>
          <w:szCs w:val="24"/>
        </w:rPr>
        <w:t xml:space="preserve"> follows.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Motto: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Deploy our intellect on the right path.</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Mission</w:t>
      </w:r>
      <w:r>
        <w:rPr>
          <w:rFonts w:ascii="Times New Roman" w:eastAsia="Times New Roman" w:hAnsi="Times New Roman" w:cs="Times New Roman"/>
          <w:color w:val="000000"/>
          <w:sz w:val="24"/>
          <w:szCs w:val="24"/>
        </w:rPr>
        <w:t>: To foster a transformative learning environment and a culture of excellence enabling creation of knowledge and development of socially responsible, enterprising leaders contributing significantly to national progress and humanity.</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Vision:</w:t>
      </w:r>
      <w:r>
        <w:rPr>
          <w:rFonts w:ascii="Times New Roman" w:eastAsia="Times New Roman" w:hAnsi="Times New Roman" w:cs="Times New Roman"/>
          <w:color w:val="000000"/>
          <w:sz w:val="24"/>
          <w:szCs w:val="24"/>
        </w:rPr>
        <w:t xml:space="preserve"> To be a trendsetter among the technology universities born in this millennium.</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Faculty:</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Faculty members of the Institute are selected through a rigorous selection process. The approximate mean age of a faculty member at IIT Ropar is 35 years. The faculty members who have been selected from the best institutes from India and abroad embody the spirit of enthusiasm that comes with youth. The Faculty members lay as much emphasis on the development of their technical </w:t>
      </w:r>
      <w:r>
        <w:rPr>
          <w:rFonts w:ascii="Times New Roman" w:eastAsia="Times New Roman" w:hAnsi="Times New Roman" w:cs="Times New Roman"/>
          <w:sz w:val="24"/>
          <w:szCs w:val="24"/>
        </w:rPr>
        <w:t>know-how</w:t>
      </w:r>
      <w:r>
        <w:rPr>
          <w:rFonts w:ascii="Times New Roman" w:eastAsia="Times New Roman" w:hAnsi="Times New Roman" w:cs="Times New Roman"/>
          <w:color w:val="000000"/>
          <w:sz w:val="24"/>
          <w:szCs w:val="24"/>
        </w:rPr>
        <w:t xml:space="preserve"> as on ethical and moral development; so when the student graduates she/he makes not just a good engineer but also a good human being. IIT Ropar takes the best raw material and the faculty carves them out into engineers and entrepreneurs of tomorrow.</w:t>
      </w: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9050DB">
      <w:pPr>
        <w:spacing w:line="240" w:lineRule="auto"/>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lastRenderedPageBreak/>
        <w:t>July 2024 ADMISSIONS (ACADEMIC YEAR 2024-25)</w:t>
      </w:r>
    </w:p>
    <w:p w:rsidR="00BD1F1F" w:rsidRDefault="009050DB">
      <w:pPr>
        <w:spacing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are called from the candidates for July 2024 admissions (</w:t>
      </w:r>
      <w:r w:rsidR="00B64BF6">
        <w:rPr>
          <w:rFonts w:ascii="Times New Roman" w:eastAsia="Times New Roman" w:hAnsi="Times New Roman" w:cs="Times New Roman"/>
          <w:sz w:val="24"/>
          <w:szCs w:val="24"/>
        </w:rPr>
        <w:t>1</w:t>
      </w:r>
      <w:r w:rsidR="00B64BF6" w:rsidRPr="00B64BF6">
        <w:rPr>
          <w:rFonts w:ascii="Times New Roman" w:eastAsia="Times New Roman" w:hAnsi="Times New Roman" w:cs="Times New Roman"/>
          <w:sz w:val="24"/>
          <w:szCs w:val="24"/>
          <w:vertAlign w:val="superscript"/>
        </w:rPr>
        <w:t>st</w:t>
      </w:r>
      <w:r w:rsidR="00B64BF6">
        <w:rPr>
          <w:rFonts w:ascii="Times New Roman" w:eastAsia="Times New Roman" w:hAnsi="Times New Roman" w:cs="Times New Roman"/>
          <w:sz w:val="24"/>
          <w:szCs w:val="24"/>
        </w:rPr>
        <w:t xml:space="preserve"> semester of </w:t>
      </w:r>
      <w:r>
        <w:rPr>
          <w:rFonts w:ascii="Times New Roman" w:eastAsia="Times New Roman" w:hAnsi="Times New Roman" w:cs="Times New Roman"/>
          <w:sz w:val="24"/>
          <w:szCs w:val="24"/>
        </w:rPr>
        <w:t>Academic Year 2024-25) for admission to PhD program</w:t>
      </w:r>
      <w:r w:rsidR="00B64BF6">
        <w:rPr>
          <w:rFonts w:ascii="Times New Roman" w:eastAsia="Times New Roman" w:hAnsi="Times New Roman" w:cs="Times New Roman"/>
          <w:sz w:val="24"/>
          <w:szCs w:val="24"/>
        </w:rPr>
        <w:t xml:space="preserve"> under Visvesvaraya fellowship</w:t>
      </w:r>
      <w:r>
        <w:rPr>
          <w:rFonts w:ascii="Times New Roman" w:eastAsia="Times New Roman" w:hAnsi="Times New Roman" w:cs="Times New Roman"/>
          <w:sz w:val="24"/>
          <w:szCs w:val="24"/>
        </w:rPr>
        <w:t xml:space="preserve">.    </w:t>
      </w:r>
    </w:p>
    <w:p w:rsidR="00237E77" w:rsidRDefault="00237E77" w:rsidP="00237E77">
      <w:pPr>
        <w:shd w:val="clear" w:color="auto" w:fill="FFFFFF"/>
        <w:rPr>
          <w:rFonts w:ascii="Arial" w:hAnsi="Arial" w:cs="Arial"/>
          <w:color w:val="222222"/>
        </w:rPr>
      </w:pPr>
      <w:r>
        <w:rPr>
          <w:rFonts w:ascii="Arial" w:hAnsi="Arial" w:cs="Arial"/>
          <w:color w:val="222222"/>
        </w:rPr>
        <w:t>The link for more information about this fellowship scheme.</w:t>
      </w:r>
    </w:p>
    <w:p w:rsidR="00614610" w:rsidRDefault="00B725DA" w:rsidP="00614610">
      <w:pPr>
        <w:shd w:val="clear" w:color="auto" w:fill="FFFFFF"/>
        <w:rPr>
          <w:rFonts w:ascii="Arial" w:hAnsi="Arial" w:cs="Arial"/>
          <w:color w:val="222222"/>
        </w:rPr>
      </w:pPr>
      <w:hyperlink r:id="rId9" w:tgtFrame="_blank" w:history="1">
        <w:r w:rsidR="00614610">
          <w:rPr>
            <w:rStyle w:val="Hyperlink"/>
            <w:rFonts w:ascii="Arial" w:hAnsi="Arial" w:cs="Arial"/>
            <w:color w:val="1155CC"/>
          </w:rPr>
          <w:t>https://s3fs.dl6.in/phd/Prod/6-9-2023/1697172525470Guidelines%20Scheme_Phase-II.pdf</w:t>
        </w:r>
      </w:hyperlink>
    </w:p>
    <w:p w:rsidR="00CA0F1A" w:rsidRPr="00E62DB6" w:rsidRDefault="00CA0F1A" w:rsidP="00CA0F1A">
      <w:pPr>
        <w:shd w:val="clear" w:color="auto" w:fill="FFFFFF"/>
        <w:spacing w:after="0" w:line="240" w:lineRule="auto"/>
        <w:rPr>
          <w:rFonts w:ascii="Times New Roman" w:eastAsia="Times New Roman" w:hAnsi="Times New Roman" w:cs="Times New Roman"/>
          <w:b/>
          <w:color w:val="FF0000"/>
          <w:sz w:val="28"/>
          <w:szCs w:val="28"/>
          <w:u w:val="single"/>
        </w:rPr>
      </w:pPr>
      <w:r w:rsidRPr="00E62DB6">
        <w:rPr>
          <w:rFonts w:ascii="Times New Roman" w:eastAsia="Times New Roman" w:hAnsi="Times New Roman" w:cs="Times New Roman"/>
          <w:b/>
          <w:color w:val="FF0000"/>
          <w:sz w:val="28"/>
          <w:szCs w:val="28"/>
          <w:u w:val="single"/>
        </w:rPr>
        <w:t>Below are the areas of research in the Electrical Engineering Department:</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p>
    <w:p w:rsidR="00B64BF6" w:rsidRDefault="00B64BF6" w:rsidP="00CA0F1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2A65C2">
        <w:rPr>
          <w:rFonts w:ascii="Times New Roman" w:eastAsia="Times New Roman" w:hAnsi="Times New Roman" w:cs="Times New Roman"/>
          <w:sz w:val="24"/>
          <w:szCs w:val="24"/>
        </w:rPr>
        <w:t>S</w:t>
      </w:r>
      <w:r>
        <w:rPr>
          <w:rFonts w:ascii="Times New Roman" w:eastAsia="Times New Roman" w:hAnsi="Times New Roman" w:cs="Times New Roman"/>
          <w:sz w:val="24"/>
          <w:szCs w:val="24"/>
        </w:rPr>
        <w:t>eats under regular PhD programme</w:t>
      </w:r>
    </w:p>
    <w:p w:rsidR="00B64BF6" w:rsidRDefault="00B64BF6" w:rsidP="00CA0F1A">
      <w:pPr>
        <w:shd w:val="clear" w:color="auto" w:fill="FFFFFF"/>
        <w:spacing w:after="0" w:line="240" w:lineRule="auto"/>
        <w:rPr>
          <w:rFonts w:ascii="Times New Roman" w:eastAsia="Times New Roman" w:hAnsi="Times New Roman" w:cs="Times New Roman"/>
          <w:sz w:val="24"/>
          <w:szCs w:val="24"/>
        </w:rPr>
      </w:pPr>
    </w:p>
    <w:p w:rsidR="00F13A26" w:rsidRPr="006A4F2A" w:rsidRDefault="00F13A26" w:rsidP="00CA0F1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faculty member:</w:t>
      </w:r>
    </w:p>
    <w:p w:rsidR="00CA0F1A" w:rsidRPr="00C9669A" w:rsidRDefault="00CA0F1A" w:rsidP="00C9669A">
      <w:pPr>
        <w:pStyle w:val="ListParagraph"/>
        <w:numPr>
          <w:ilvl w:val="0"/>
          <w:numId w:val="13"/>
        </w:numPr>
        <w:shd w:val="clear" w:color="auto" w:fill="FFFFFF"/>
        <w:ind w:left="284" w:hanging="284"/>
        <w:rPr>
          <w:b/>
          <w:sz w:val="24"/>
          <w:szCs w:val="24"/>
        </w:rPr>
      </w:pPr>
      <w:r w:rsidRPr="00C9669A">
        <w:rPr>
          <w:b/>
          <w:sz w:val="24"/>
          <w:szCs w:val="24"/>
        </w:rPr>
        <w:t>Dr. Santosh Kumar Vipparthi</w:t>
      </w:r>
    </w:p>
    <w:p w:rsidR="00C9669A" w:rsidRPr="00F13A26" w:rsidRDefault="00F13A26" w:rsidP="00F13A26">
      <w:pPr>
        <w:shd w:val="clear" w:color="auto" w:fill="FFFFFF"/>
        <w:rPr>
          <w:b/>
          <w:sz w:val="24"/>
          <w:szCs w:val="24"/>
        </w:rPr>
      </w:pPr>
      <w:r w:rsidRPr="00F13A26">
        <w:rPr>
          <w:b/>
          <w:sz w:val="24"/>
          <w:szCs w:val="24"/>
        </w:rPr>
        <w:t>Research area</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 xml:space="preserve">1. Quantum Machine Learning  </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 xml:space="preserve">2. Multi Model Learning using Deep Learning </w:t>
      </w:r>
    </w:p>
    <w:p w:rsidR="00CA0F1A" w:rsidRPr="006A4F2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3. Deep Fake Detection in image or Videos </w:t>
      </w:r>
    </w:p>
    <w:p w:rsidR="00F13A26" w:rsidRPr="00C9669A" w:rsidRDefault="00F13A26" w:rsidP="00F13A26">
      <w:pPr>
        <w:pStyle w:val="ListParagraph"/>
        <w:shd w:val="clear" w:color="auto" w:fill="FFFFFF"/>
        <w:ind w:left="720"/>
        <w:rPr>
          <w:b/>
          <w:sz w:val="24"/>
          <w:szCs w:val="24"/>
        </w:rPr>
      </w:pPr>
      <w:r>
        <w:rPr>
          <w:sz w:val="24"/>
          <w:szCs w:val="24"/>
        </w:rPr>
        <w:tab/>
      </w:r>
    </w:p>
    <w:p w:rsidR="00F13A26" w:rsidRPr="006A4F2A" w:rsidRDefault="00F13A26" w:rsidP="00F13A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faculty member:</w:t>
      </w:r>
    </w:p>
    <w:p w:rsidR="00CA0F1A" w:rsidRPr="00C9669A" w:rsidRDefault="00CA0F1A" w:rsidP="00C9669A">
      <w:pPr>
        <w:pStyle w:val="ListParagraph"/>
        <w:numPr>
          <w:ilvl w:val="0"/>
          <w:numId w:val="13"/>
        </w:numPr>
        <w:shd w:val="clear" w:color="auto" w:fill="FFFFFF"/>
        <w:ind w:left="284" w:hanging="284"/>
        <w:rPr>
          <w:b/>
          <w:sz w:val="24"/>
          <w:szCs w:val="24"/>
        </w:rPr>
      </w:pPr>
      <w:r w:rsidRPr="00C9669A">
        <w:rPr>
          <w:b/>
          <w:sz w:val="24"/>
          <w:szCs w:val="24"/>
        </w:rPr>
        <w:t>Dr. Ashwani Sharma</w:t>
      </w:r>
    </w:p>
    <w:p w:rsidR="00CA0F1A" w:rsidRPr="006A4F2A" w:rsidRDefault="00F13A26" w:rsidP="00CA0F1A">
      <w:pPr>
        <w:shd w:val="clear" w:color="auto" w:fill="FFFFFF"/>
        <w:spacing w:after="0" w:line="240" w:lineRule="auto"/>
        <w:rPr>
          <w:rFonts w:ascii="Times New Roman" w:eastAsia="Times New Roman" w:hAnsi="Times New Roman" w:cs="Times New Roman"/>
          <w:sz w:val="24"/>
          <w:szCs w:val="24"/>
        </w:rPr>
      </w:pPr>
      <w:r>
        <w:rPr>
          <w:b/>
          <w:sz w:val="24"/>
          <w:szCs w:val="24"/>
        </w:rPr>
        <w:t>Research area</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 xml:space="preserve">1. RF circuits and Systems </w:t>
      </w:r>
    </w:p>
    <w:p w:rsidR="00CA0F1A" w:rsidRPr="006A4F2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2. Microwave and Antenna Engineering </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p>
    <w:p w:rsidR="00F13A26" w:rsidRPr="006A4F2A" w:rsidRDefault="00F13A26" w:rsidP="00F13A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faculty member:</w:t>
      </w:r>
    </w:p>
    <w:p w:rsidR="00CA0F1A" w:rsidRPr="00C9669A" w:rsidRDefault="00CA0F1A" w:rsidP="00C9669A">
      <w:pPr>
        <w:pStyle w:val="ListParagraph"/>
        <w:numPr>
          <w:ilvl w:val="0"/>
          <w:numId w:val="13"/>
        </w:numPr>
        <w:shd w:val="clear" w:color="auto" w:fill="FFFFFF"/>
        <w:ind w:left="284" w:hanging="284"/>
        <w:rPr>
          <w:b/>
          <w:sz w:val="24"/>
          <w:szCs w:val="24"/>
        </w:rPr>
      </w:pPr>
      <w:r w:rsidRPr="00C9669A">
        <w:rPr>
          <w:b/>
          <w:sz w:val="24"/>
          <w:szCs w:val="24"/>
        </w:rPr>
        <w:t>Dr. Pardeep Duhan</w:t>
      </w:r>
    </w:p>
    <w:p w:rsidR="00C9669A" w:rsidRPr="00F13A26" w:rsidRDefault="00F13A26" w:rsidP="00F13A26">
      <w:pPr>
        <w:shd w:val="clear" w:color="auto" w:fill="FFFFFF"/>
        <w:rPr>
          <w:b/>
          <w:sz w:val="24"/>
          <w:szCs w:val="24"/>
        </w:rPr>
      </w:pPr>
      <w:r w:rsidRPr="00F13A26">
        <w:rPr>
          <w:b/>
          <w:sz w:val="24"/>
          <w:szCs w:val="24"/>
        </w:rPr>
        <w:t>Research area</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 xml:space="preserve">1. Semiconductor Devices and Reliability </w:t>
      </w:r>
    </w:p>
    <w:p w:rsidR="00CA0F1A" w:rsidRPr="006A4F2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2. Ferroelectric Memory Devices</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p>
    <w:p w:rsidR="00F13A26" w:rsidRPr="006A4F2A" w:rsidRDefault="00F13A26" w:rsidP="00F13A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faculty member:</w:t>
      </w:r>
    </w:p>
    <w:p w:rsidR="00CA0F1A" w:rsidRPr="006A4F2A" w:rsidRDefault="00C9669A" w:rsidP="00CA0F1A">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CA0F1A" w:rsidRPr="006A4F2A">
        <w:rPr>
          <w:rFonts w:ascii="Times New Roman" w:eastAsia="Times New Roman" w:hAnsi="Times New Roman" w:cs="Times New Roman"/>
          <w:b/>
          <w:sz w:val="24"/>
          <w:szCs w:val="24"/>
        </w:rPr>
        <w:t>. Dr. Devarshi Mrinal Das</w:t>
      </w:r>
    </w:p>
    <w:p w:rsidR="00CA0F1A" w:rsidRPr="006A4F2A" w:rsidRDefault="002871A8" w:rsidP="00CA0F1A">
      <w:pPr>
        <w:shd w:val="clear" w:color="auto" w:fill="FFFFFF"/>
        <w:spacing w:after="0" w:line="240" w:lineRule="auto"/>
        <w:rPr>
          <w:rFonts w:ascii="Times New Roman" w:eastAsia="Times New Roman" w:hAnsi="Times New Roman" w:cs="Times New Roman"/>
          <w:sz w:val="24"/>
          <w:szCs w:val="24"/>
        </w:rPr>
      </w:pPr>
      <w:r>
        <w:rPr>
          <w:b/>
          <w:sz w:val="24"/>
          <w:szCs w:val="24"/>
        </w:rPr>
        <w:t>Research</w:t>
      </w:r>
      <w:r w:rsidR="00F13A26">
        <w:rPr>
          <w:b/>
          <w:sz w:val="24"/>
          <w:szCs w:val="24"/>
        </w:rPr>
        <w:t xml:space="preserve"> area</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 xml:space="preserve">1. Analog, Mixed-Signal and RF Integrated Circuit Design </w:t>
      </w:r>
    </w:p>
    <w:p w:rsidR="00CA0F1A" w:rsidRPr="006A4F2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2. Circuits and Systems for Artificial Intelligence</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p>
    <w:p w:rsidR="00F13A26" w:rsidRPr="006A4F2A" w:rsidRDefault="00F13A26" w:rsidP="00F13A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faculty member:</w:t>
      </w:r>
    </w:p>
    <w:p w:rsidR="00CA0F1A" w:rsidRPr="006A4F2A" w:rsidRDefault="00C9669A" w:rsidP="00CA0F1A">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00CA0F1A" w:rsidRPr="006A4F2A">
        <w:rPr>
          <w:rFonts w:ascii="Times New Roman" w:eastAsia="Times New Roman" w:hAnsi="Times New Roman" w:cs="Times New Roman"/>
          <w:b/>
          <w:sz w:val="24"/>
          <w:szCs w:val="24"/>
        </w:rPr>
        <w:t>. Dr. A.V. Raviteja</w:t>
      </w:r>
    </w:p>
    <w:p w:rsidR="00F13A26" w:rsidRPr="006A4F2A" w:rsidRDefault="002871A8" w:rsidP="00CA0F1A">
      <w:pPr>
        <w:shd w:val="clear" w:color="auto" w:fill="FFFFFF"/>
        <w:spacing w:after="0" w:line="240" w:lineRule="auto"/>
        <w:rPr>
          <w:rFonts w:ascii="Times New Roman" w:eastAsia="Times New Roman" w:hAnsi="Times New Roman" w:cs="Times New Roman"/>
          <w:sz w:val="24"/>
          <w:szCs w:val="24"/>
        </w:rPr>
      </w:pPr>
      <w:r>
        <w:rPr>
          <w:b/>
          <w:sz w:val="24"/>
          <w:szCs w:val="24"/>
        </w:rPr>
        <w:t>Research</w:t>
      </w:r>
      <w:r w:rsidR="00F13A26">
        <w:rPr>
          <w:b/>
          <w:sz w:val="24"/>
          <w:szCs w:val="24"/>
        </w:rPr>
        <w:t xml:space="preserve"> area</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 xml:space="preserve">1. Regenerative Braking in Electric Vehicles  </w:t>
      </w:r>
    </w:p>
    <w:p w:rsidR="00CA0F1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 xml:space="preserve">2. Power Electronics </w:t>
      </w:r>
    </w:p>
    <w:p w:rsidR="00CA0F1A" w:rsidRPr="006A4F2A" w:rsidRDefault="00CA0F1A" w:rsidP="00CA0F1A">
      <w:pPr>
        <w:shd w:val="clear" w:color="auto" w:fill="FFFFFF"/>
        <w:spacing w:after="0" w:line="240" w:lineRule="auto"/>
        <w:rPr>
          <w:rFonts w:ascii="Times New Roman" w:eastAsia="Times New Roman" w:hAnsi="Times New Roman" w:cs="Times New Roman"/>
          <w:sz w:val="24"/>
          <w:szCs w:val="24"/>
        </w:rPr>
      </w:pPr>
      <w:r w:rsidRPr="006A4F2A">
        <w:rPr>
          <w:rFonts w:ascii="Times New Roman" w:eastAsia="Times New Roman" w:hAnsi="Times New Roman" w:cs="Times New Roman"/>
          <w:sz w:val="24"/>
          <w:szCs w:val="24"/>
        </w:rPr>
        <w:t>3. Renewable Energy Integration into Grid</w:t>
      </w:r>
    </w:p>
    <w:p w:rsidR="00CA0F1A" w:rsidRDefault="00CA0F1A" w:rsidP="00237E77">
      <w:pPr>
        <w:shd w:val="clear" w:color="auto" w:fill="FFFFFF"/>
        <w:rPr>
          <w:rFonts w:ascii="Arial" w:hAnsi="Arial" w:cs="Arial"/>
          <w:color w:val="222222"/>
        </w:rPr>
      </w:pPr>
    </w:p>
    <w:p w:rsidR="00BD1F1F" w:rsidRDefault="009050DB">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Last Date of Receipt of Online Applications: </w:t>
      </w:r>
      <w:r w:rsidR="00237E77">
        <w:rPr>
          <w:rFonts w:ascii="Times New Roman" w:eastAsia="Times New Roman" w:hAnsi="Times New Roman" w:cs="Times New Roman"/>
          <w:color w:val="FF0000"/>
          <w:sz w:val="28"/>
          <w:szCs w:val="28"/>
        </w:rPr>
        <w:t>1</w:t>
      </w:r>
      <w:r w:rsidR="00BF08A5">
        <w:rPr>
          <w:rFonts w:ascii="Times New Roman" w:eastAsia="Times New Roman" w:hAnsi="Times New Roman" w:cs="Times New Roman"/>
          <w:color w:val="FF0000"/>
          <w:sz w:val="28"/>
          <w:szCs w:val="28"/>
        </w:rPr>
        <w:t>4</w:t>
      </w:r>
      <w:r w:rsidR="00E125ED">
        <w:rPr>
          <w:rFonts w:ascii="Times New Roman" w:eastAsia="Times New Roman" w:hAnsi="Times New Roman" w:cs="Times New Roman"/>
          <w:color w:val="FF0000"/>
          <w:sz w:val="28"/>
          <w:szCs w:val="28"/>
        </w:rPr>
        <w:t>.0</w:t>
      </w:r>
      <w:r w:rsidR="00237E77">
        <w:rPr>
          <w:rFonts w:ascii="Times New Roman" w:eastAsia="Times New Roman" w:hAnsi="Times New Roman" w:cs="Times New Roman"/>
          <w:color w:val="FF0000"/>
          <w:sz w:val="28"/>
          <w:szCs w:val="28"/>
        </w:rPr>
        <w:t>6</w:t>
      </w:r>
      <w:r w:rsidR="00E125ED">
        <w:rPr>
          <w:rFonts w:ascii="Times New Roman" w:eastAsia="Times New Roman" w:hAnsi="Times New Roman" w:cs="Times New Roman"/>
          <w:color w:val="FF0000"/>
          <w:sz w:val="28"/>
          <w:szCs w:val="28"/>
        </w:rPr>
        <w:t>.2024</w:t>
      </w:r>
    </w:p>
    <w:p w:rsidR="00107701" w:rsidRDefault="00107701">
      <w:pPr>
        <w:spacing w:line="240" w:lineRule="auto"/>
        <w:jc w:val="both"/>
        <w:rPr>
          <w:rFonts w:ascii="Times New Roman" w:eastAsia="Times New Roman" w:hAnsi="Times New Roman" w:cs="Times New Roman"/>
          <w:color w:val="FF0000"/>
          <w:sz w:val="28"/>
          <w:szCs w:val="28"/>
        </w:rPr>
      </w:pPr>
    </w:p>
    <w:p w:rsidR="00BD1F1F" w:rsidRDefault="009050DB">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Guidelines</w:t>
      </w:r>
    </w:p>
    <w:p w:rsidR="00BD1F1F" w:rsidRDefault="009050DB">
      <w:pPr>
        <w:widowControl w:val="0"/>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visit the link : </w:t>
      </w:r>
      <w:hyperlink r:id="rId10">
        <w:r>
          <w:rPr>
            <w:rFonts w:ascii="Times New Roman" w:eastAsia="Times New Roman" w:hAnsi="Times New Roman" w:cs="Times New Roman"/>
            <w:color w:val="0000FF"/>
            <w:sz w:val="24"/>
            <w:szCs w:val="24"/>
            <w:u w:val="single"/>
          </w:rPr>
          <w:t>https://www.iitrpr.ac.in/phd-admissions</w:t>
        </w:r>
      </w:hyperlink>
      <w:r>
        <w:rPr>
          <w:rFonts w:ascii="Times New Roman" w:eastAsia="Times New Roman" w:hAnsi="Times New Roman" w:cs="Times New Roman"/>
          <w:color w:val="000000"/>
          <w:sz w:val="24"/>
          <w:szCs w:val="24"/>
          <w:u w:val="single"/>
        </w:rPr>
        <w:t xml:space="preserve"> </w:t>
      </w:r>
    </w:p>
    <w:p w:rsidR="00BD1F1F" w:rsidRDefault="009050DB">
      <w:pPr>
        <w:widowControl w:val="0"/>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the application ONLINE. After filling the form, take a print of your application and keep the same for your record. Print copy of the application is not required to be submitted.</w:t>
      </w:r>
    </w:p>
    <w:p w:rsidR="00BD1F1F" w:rsidRDefault="009050DB">
      <w:pPr>
        <w:widowControl w:val="0"/>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Fee:</w:t>
      </w:r>
    </w:p>
    <w:p w:rsidR="00BD1F1F" w:rsidRDefault="009050DB">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 candidates &amp;  SC/ST/PwD category candidates :  Rs. 100/-</w:t>
      </w:r>
    </w:p>
    <w:p w:rsidR="00BD1F1F" w:rsidRDefault="009050DB">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other candidates</w:t>
      </w:r>
      <w:r>
        <w:rPr>
          <w:rFonts w:ascii="Times New Roman" w:eastAsia="Times New Roman" w:hAnsi="Times New Roman" w:cs="Times New Roman"/>
          <w:color w:val="000000"/>
          <w:sz w:val="24"/>
          <w:szCs w:val="24"/>
        </w:rPr>
        <w:tab/>
        <w:t>: Rs. 200/-</w:t>
      </w:r>
    </w:p>
    <w:p w:rsidR="00BD1F1F" w:rsidRDefault="009050DB">
      <w:pPr>
        <w:widowControl w:val="0"/>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fee is to be paid by SB Collect (Online Payment System). Applications without online payment details will not be considered. Fees payment method is as follows:</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 to </w:t>
      </w:r>
      <w:hyperlink r:id="rId11">
        <w:r>
          <w:rPr>
            <w:rFonts w:ascii="Times New Roman" w:eastAsia="Times New Roman" w:hAnsi="Times New Roman" w:cs="Times New Roman"/>
            <w:color w:val="0000FF"/>
            <w:sz w:val="24"/>
            <w:szCs w:val="24"/>
            <w:u w:val="single"/>
          </w:rPr>
          <w:t>onlinesbi.com</w:t>
        </w:r>
      </w:hyperlink>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SB Collect</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Tick the terms and conditions and continue</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state- Punjab</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educational institute- IIT Ropar (Type I I T Ropar after giving space in each letter of IIT).</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the option for payment category</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 the option- Application Fees for PhD admission </w:t>
      </w:r>
    </w:p>
    <w:p w:rsidR="00BD1F1F" w:rsidRDefault="009050DB">
      <w:pPr>
        <w:widowControl w:val="0"/>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 the requisite fee.</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Application fee is NON-REFUNDABLE.</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The dates of the written test/interview will be informed to the shortlisted candidates through email.</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candidates who wish to apply to multiple research programmes are required to register for each application </w:t>
      </w: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pay the application fee separately subject to fulfilling the eligibility criteria for applying to the concerned department/research programme as mentioned in the admission brochure &amp; website. Candidates can apply in multiple </w:t>
      </w:r>
      <w:r w:rsidR="00416A4E">
        <w:rPr>
          <w:rFonts w:ascii="Times New Roman" w:eastAsia="Times New Roman" w:hAnsi="Times New Roman" w:cs="Times New Roman"/>
          <w:color w:val="000000"/>
          <w:sz w:val="24"/>
          <w:szCs w:val="24"/>
        </w:rPr>
        <w:t>research area</w:t>
      </w:r>
      <w:r w:rsidR="00A03140">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subject to fulfilling the minimum eligibility requirement of respective departments.</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OBC (Non-Creamy Layer) certificate and Income &amp; Assets certificate [for EWS category] issued after </w:t>
      </w:r>
      <w:r>
        <w:rPr>
          <w:rFonts w:ascii="Times New Roman" w:eastAsia="Times New Roman" w:hAnsi="Times New Roman" w:cs="Times New Roman"/>
          <w:color w:val="000000"/>
          <w:sz w:val="24"/>
          <w:szCs w:val="24"/>
          <w:highlight w:val="white"/>
        </w:rPr>
        <w:t xml:space="preserve">31.03.2023 (for financial year 2022-2023) </w:t>
      </w:r>
      <w:r>
        <w:rPr>
          <w:rFonts w:ascii="Times New Roman" w:eastAsia="Times New Roman" w:hAnsi="Times New Roman" w:cs="Times New Roman"/>
          <w:color w:val="000000"/>
          <w:sz w:val="24"/>
          <w:szCs w:val="24"/>
        </w:rPr>
        <w:t xml:space="preserve">in the prescribed format must be uploaded in the ONLINE application and submitted at the time of interview/admission </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check the admission website regularly for important announcements and department website for shortlisting updates and results</w:t>
      </w:r>
    </w:p>
    <w:p w:rsidR="00C9669A" w:rsidRDefault="009050DB" w:rsidP="00C9669A">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candidates called </w:t>
      </w:r>
      <w:r>
        <w:rPr>
          <w:rFonts w:ascii="Times New Roman" w:eastAsia="Times New Roman" w:hAnsi="Times New Roman" w:cs="Times New Roman"/>
          <w:sz w:val="24"/>
          <w:szCs w:val="24"/>
        </w:rPr>
        <w:t>for a written</w:t>
      </w:r>
      <w:r>
        <w:rPr>
          <w:rFonts w:ascii="Times New Roman" w:eastAsia="Times New Roman" w:hAnsi="Times New Roman" w:cs="Times New Roman"/>
          <w:color w:val="000000"/>
          <w:sz w:val="24"/>
          <w:szCs w:val="24"/>
        </w:rPr>
        <w:t xml:space="preserve"> test/interview should bring with them a printed copy of the application submitted online along with original and </w:t>
      </w:r>
      <w:r>
        <w:rPr>
          <w:rFonts w:ascii="Times New Roman" w:eastAsia="Times New Roman" w:hAnsi="Times New Roman" w:cs="Times New Roman"/>
          <w:sz w:val="24"/>
          <w:szCs w:val="24"/>
        </w:rPr>
        <w:t>photocopies</w:t>
      </w:r>
      <w:r>
        <w:rPr>
          <w:rFonts w:ascii="Times New Roman" w:eastAsia="Times New Roman" w:hAnsi="Times New Roman" w:cs="Times New Roman"/>
          <w:color w:val="000000"/>
          <w:sz w:val="24"/>
          <w:szCs w:val="24"/>
        </w:rPr>
        <w:t xml:space="preserve"> of relevant certificates/documents.</w:t>
      </w:r>
    </w:p>
    <w:p w:rsidR="00C9669A" w:rsidRPr="00C9669A" w:rsidRDefault="00C9669A" w:rsidP="00C9669A">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sidRPr="00C9669A">
        <w:rPr>
          <w:rFonts w:ascii="Times New Roman" w:eastAsia="Times New Roman" w:hAnsi="Times New Roman" w:cs="Times New Roman"/>
          <w:color w:val="000000"/>
          <w:sz w:val="24"/>
          <w:szCs w:val="24"/>
        </w:rPr>
        <w:t>Please ensure that you have submitted application successfully. Application in draft mode/ incomplete  will not be considered as a valid application.</w:t>
      </w:r>
    </w:p>
    <w:p w:rsidR="00C9669A" w:rsidRDefault="00C9669A">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sidRPr="00C9669A">
        <w:rPr>
          <w:rFonts w:ascii="Times New Roman" w:eastAsia="Times New Roman" w:hAnsi="Times New Roman" w:cs="Times New Roman"/>
          <w:color w:val="000000"/>
          <w:sz w:val="24"/>
          <w:szCs w:val="24"/>
        </w:rPr>
        <w:t>The applications submitted with no/ partial application fee will be rejected.</w:t>
      </w:r>
    </w:p>
    <w:p w:rsidR="00BD1F1F" w:rsidRDefault="009050DB">
      <w:pPr>
        <w:widowControl w:val="0"/>
        <w:numPr>
          <w:ilvl w:val="0"/>
          <w:numId w:val="1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must </w:t>
      </w:r>
      <w:r>
        <w:rPr>
          <w:rFonts w:ascii="Times New Roman" w:eastAsia="Times New Roman" w:hAnsi="Times New Roman" w:cs="Times New Roman"/>
          <w:sz w:val="24"/>
          <w:szCs w:val="24"/>
        </w:rPr>
        <w:t>submit a legible</w:t>
      </w:r>
      <w:r>
        <w:rPr>
          <w:rFonts w:ascii="Times New Roman" w:eastAsia="Times New Roman" w:hAnsi="Times New Roman" w:cs="Times New Roman"/>
          <w:color w:val="000000"/>
          <w:sz w:val="24"/>
          <w:szCs w:val="24"/>
        </w:rPr>
        <w:t xml:space="preserve"> copy of the documents. </w:t>
      </w:r>
    </w:p>
    <w:p w:rsidR="00E62DB6" w:rsidRDefault="00E62DB6">
      <w:pPr>
        <w:spacing w:after="0" w:line="240" w:lineRule="auto"/>
        <w:jc w:val="both"/>
        <w:rPr>
          <w:rFonts w:ascii="Times New Roman" w:eastAsia="Times New Roman" w:hAnsi="Times New Roman" w:cs="Times New Roman"/>
          <w:sz w:val="28"/>
          <w:szCs w:val="28"/>
        </w:rPr>
      </w:pPr>
    </w:p>
    <w:p w:rsidR="00BD1F1F" w:rsidRDefault="009050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Selection Procedure: </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Eligible candidates possessing the minimum educational qualifications &amp; eligible degree and satisfying additional and stiffer criteria set by the departments from time to time, will be called for an “test and interview” or “interview” by the Selection Committees of the respective departments.</w:t>
      </w:r>
    </w:p>
    <w:p w:rsidR="00BD1F1F" w:rsidRDefault="009050DB">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Admission Procedure</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Admission is offered on the basis of an interview held usually a month before the commencement of the semester for which admission is sought. The interview may be supplemented by a written test, if necessary.</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Merely satisfying the general eligibility criterion as well as criterion set for each admission category is no guarantee for being called for test/interview. Depending on the number of applications received and considering the constraints of time and other resources for conducting Written Test and Interview, the Academic Units may put additional academic performance based shortlisting </w:t>
      </w:r>
      <w:r>
        <w:rPr>
          <w:rFonts w:ascii="Times New Roman" w:eastAsia="Times New Roman" w:hAnsi="Times New Roman" w:cs="Times New Roman"/>
          <w:sz w:val="24"/>
          <w:szCs w:val="24"/>
          <w:highlight w:val="white"/>
        </w:rPr>
        <w:t>criteria</w:t>
      </w:r>
      <w:r>
        <w:rPr>
          <w:rFonts w:ascii="Times New Roman" w:eastAsia="Times New Roman" w:hAnsi="Times New Roman" w:cs="Times New Roman"/>
          <w:color w:val="000000"/>
          <w:sz w:val="24"/>
          <w:szCs w:val="24"/>
          <w:highlight w:val="white"/>
        </w:rPr>
        <w:t>.</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Minimum Eligibility Requirement for Admission to PhD program.</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Institute Minimum Eligibility Requirements and any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Department/Center can specify higher short-listing criteria than what is specified here.</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Regular Full-time Ph.D.</w:t>
      </w:r>
    </w:p>
    <w:p w:rsidR="00E62DB6" w:rsidRDefault="00E62DB6">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E62DB6"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Minimum Eligibility Qualification (MEQ) for admission to Regular Full-time Ph.D programmes refer table:1 below:</w:t>
      </w:r>
    </w:p>
    <w:p w:rsidR="00BD1F1F" w:rsidRDefault="009050D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Table:1: Minimum Eligibility Qualification for admission to Regular Full-time Ph.D programmes</w:t>
      </w:r>
    </w:p>
    <w:tbl>
      <w:tblPr>
        <w:tblStyle w:val="a6"/>
        <w:tblW w:w="10023"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05"/>
        <w:gridCol w:w="2430"/>
        <w:gridCol w:w="2355"/>
        <w:gridCol w:w="2107"/>
        <w:gridCol w:w="2126"/>
      </w:tblGrid>
      <w:tr w:rsidR="00BD1F1F">
        <w:trPr>
          <w:cantSplit/>
          <w:tblHeader/>
        </w:trPr>
        <w:tc>
          <w:tcPr>
            <w:tcW w:w="1005" w:type="dxa"/>
            <w:shd w:val="clear" w:color="auto" w:fill="auto"/>
            <w:tcMar>
              <w:top w:w="100" w:type="dxa"/>
              <w:left w:w="100" w:type="dxa"/>
              <w:bottom w:w="100" w:type="dxa"/>
              <w:right w:w="100" w:type="dxa"/>
            </w:tcMar>
          </w:tcPr>
          <w:p w:rsidR="00BD1F1F" w:rsidRPr="00E62DB6" w:rsidRDefault="009050DB">
            <w:pPr>
              <w:widowControl w:val="0"/>
              <w:pBdr>
                <w:top w:val="nil"/>
                <w:left w:val="nil"/>
                <w:bottom w:val="nil"/>
                <w:right w:val="nil"/>
                <w:between w:val="nil"/>
              </w:pBdr>
              <w:jc w:val="both"/>
              <w:rPr>
                <w:rFonts w:ascii="Times New Roman" w:eastAsia="Times New Roman" w:hAnsi="Times New Roman" w:cs="Times New Roman"/>
                <w:b/>
                <w:bCs/>
                <w:color w:val="000000"/>
                <w:sz w:val="24"/>
                <w:szCs w:val="24"/>
              </w:rPr>
            </w:pPr>
            <w:r w:rsidRPr="00E62DB6">
              <w:rPr>
                <w:rFonts w:ascii="Times New Roman" w:eastAsia="Times New Roman" w:hAnsi="Times New Roman" w:cs="Times New Roman"/>
                <w:b/>
                <w:bCs/>
                <w:color w:val="000000"/>
                <w:sz w:val="24"/>
                <w:szCs w:val="24"/>
              </w:rPr>
              <w:t>Sr. No.</w:t>
            </w:r>
          </w:p>
        </w:tc>
        <w:tc>
          <w:tcPr>
            <w:tcW w:w="2430" w:type="dxa"/>
            <w:shd w:val="clear" w:color="auto" w:fill="auto"/>
            <w:tcMar>
              <w:top w:w="100" w:type="dxa"/>
              <w:left w:w="100" w:type="dxa"/>
              <w:bottom w:w="100" w:type="dxa"/>
              <w:right w:w="100" w:type="dxa"/>
            </w:tcMar>
          </w:tcPr>
          <w:p w:rsidR="00BD1F1F" w:rsidRPr="00E62DB6" w:rsidRDefault="009050DB">
            <w:pPr>
              <w:widowControl w:val="0"/>
              <w:pBdr>
                <w:top w:val="nil"/>
                <w:left w:val="nil"/>
                <w:bottom w:val="nil"/>
                <w:right w:val="nil"/>
                <w:between w:val="nil"/>
              </w:pBdr>
              <w:jc w:val="both"/>
              <w:rPr>
                <w:rFonts w:ascii="Times New Roman" w:eastAsia="Times New Roman" w:hAnsi="Times New Roman" w:cs="Times New Roman"/>
                <w:b/>
                <w:bCs/>
                <w:color w:val="000000"/>
                <w:sz w:val="24"/>
                <w:szCs w:val="24"/>
              </w:rPr>
            </w:pPr>
            <w:r w:rsidRPr="00E62DB6">
              <w:rPr>
                <w:rFonts w:ascii="Times New Roman" w:eastAsia="Times New Roman" w:hAnsi="Times New Roman" w:cs="Times New Roman"/>
                <w:b/>
                <w:bCs/>
                <w:color w:val="000000"/>
                <w:sz w:val="24"/>
                <w:szCs w:val="24"/>
              </w:rPr>
              <w:t>Qualifying Degree</w:t>
            </w:r>
          </w:p>
        </w:tc>
        <w:tc>
          <w:tcPr>
            <w:tcW w:w="2355" w:type="dxa"/>
            <w:shd w:val="clear" w:color="auto" w:fill="auto"/>
            <w:tcMar>
              <w:top w:w="100" w:type="dxa"/>
              <w:left w:w="100" w:type="dxa"/>
              <w:bottom w:w="100" w:type="dxa"/>
              <w:right w:w="100" w:type="dxa"/>
            </w:tcMar>
          </w:tcPr>
          <w:p w:rsidR="00BD1F1F" w:rsidRPr="00E62DB6" w:rsidRDefault="009050DB">
            <w:pPr>
              <w:widowControl w:val="0"/>
              <w:pBdr>
                <w:top w:val="nil"/>
                <w:left w:val="nil"/>
                <w:bottom w:val="nil"/>
                <w:right w:val="nil"/>
                <w:between w:val="nil"/>
              </w:pBdr>
              <w:jc w:val="both"/>
              <w:rPr>
                <w:rFonts w:ascii="Times New Roman" w:eastAsia="Times New Roman" w:hAnsi="Times New Roman" w:cs="Times New Roman"/>
                <w:b/>
                <w:bCs/>
                <w:color w:val="000000"/>
                <w:sz w:val="24"/>
                <w:szCs w:val="24"/>
              </w:rPr>
            </w:pPr>
            <w:r w:rsidRPr="00E62DB6">
              <w:rPr>
                <w:rFonts w:ascii="Times New Roman" w:eastAsia="Times New Roman" w:hAnsi="Times New Roman" w:cs="Times New Roman"/>
                <w:b/>
                <w:bCs/>
                <w:color w:val="000000"/>
                <w:sz w:val="24"/>
                <w:szCs w:val="24"/>
              </w:rPr>
              <w:t>Minimum Performance in Qualifying Degree for General/OBC (Non-Creamy Layer)/EWS Category Candidates</w:t>
            </w:r>
          </w:p>
        </w:tc>
        <w:tc>
          <w:tcPr>
            <w:tcW w:w="2107" w:type="dxa"/>
            <w:shd w:val="clear" w:color="auto" w:fill="auto"/>
            <w:tcMar>
              <w:top w:w="100" w:type="dxa"/>
              <w:left w:w="100" w:type="dxa"/>
              <w:bottom w:w="100" w:type="dxa"/>
              <w:right w:w="100" w:type="dxa"/>
            </w:tcMar>
          </w:tcPr>
          <w:p w:rsidR="00BD1F1F" w:rsidRPr="00E62DB6" w:rsidRDefault="009050DB">
            <w:pPr>
              <w:widowControl w:val="0"/>
              <w:pBdr>
                <w:top w:val="nil"/>
                <w:left w:val="nil"/>
                <w:bottom w:val="nil"/>
                <w:right w:val="nil"/>
                <w:between w:val="nil"/>
              </w:pBdr>
              <w:jc w:val="both"/>
              <w:rPr>
                <w:rFonts w:ascii="Times New Roman" w:eastAsia="Times New Roman" w:hAnsi="Times New Roman" w:cs="Times New Roman"/>
                <w:b/>
                <w:bCs/>
                <w:color w:val="000000"/>
                <w:sz w:val="24"/>
                <w:szCs w:val="24"/>
              </w:rPr>
            </w:pPr>
            <w:r w:rsidRPr="00E62DB6">
              <w:rPr>
                <w:rFonts w:ascii="Times New Roman" w:eastAsia="Times New Roman" w:hAnsi="Times New Roman" w:cs="Times New Roman"/>
                <w:b/>
                <w:bCs/>
                <w:color w:val="000000"/>
                <w:sz w:val="24"/>
                <w:szCs w:val="24"/>
              </w:rPr>
              <w:t>Minimum Performance in Qualifying Degree for SC/ST/PwD category Candidates</w:t>
            </w:r>
          </w:p>
        </w:tc>
        <w:tc>
          <w:tcPr>
            <w:tcW w:w="2126" w:type="dxa"/>
            <w:shd w:val="clear" w:color="auto" w:fill="auto"/>
            <w:tcMar>
              <w:top w:w="100" w:type="dxa"/>
              <w:left w:w="100" w:type="dxa"/>
              <w:bottom w:w="100" w:type="dxa"/>
              <w:right w:w="100" w:type="dxa"/>
            </w:tcMar>
          </w:tcPr>
          <w:p w:rsidR="00BD1F1F" w:rsidRPr="00E62DB6" w:rsidRDefault="009050DB">
            <w:pPr>
              <w:widowControl w:val="0"/>
              <w:pBdr>
                <w:top w:val="nil"/>
                <w:left w:val="nil"/>
                <w:bottom w:val="nil"/>
                <w:right w:val="nil"/>
                <w:between w:val="nil"/>
              </w:pBdr>
              <w:jc w:val="both"/>
              <w:rPr>
                <w:rFonts w:ascii="Times New Roman" w:eastAsia="Times New Roman" w:hAnsi="Times New Roman" w:cs="Times New Roman"/>
                <w:b/>
                <w:bCs/>
                <w:color w:val="000000"/>
                <w:sz w:val="24"/>
                <w:szCs w:val="24"/>
              </w:rPr>
            </w:pPr>
            <w:r w:rsidRPr="00E62DB6">
              <w:rPr>
                <w:rFonts w:ascii="Times New Roman" w:eastAsia="Times New Roman" w:hAnsi="Times New Roman" w:cs="Times New Roman"/>
                <w:b/>
                <w:bCs/>
                <w:color w:val="000000"/>
                <w:sz w:val="24"/>
                <w:szCs w:val="24"/>
              </w:rPr>
              <w:t>Qualification Through National Level Examination Requirements</w:t>
            </w:r>
          </w:p>
        </w:tc>
      </w:tr>
      <w:tr w:rsidR="00BD1F1F">
        <w:trPr>
          <w:cantSplit/>
          <w:tblHeader/>
        </w:trPr>
        <w:tc>
          <w:tcPr>
            <w:tcW w:w="100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30"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M.Tech./M.E/M.D. or equivalent</w:t>
            </w:r>
          </w:p>
        </w:tc>
        <w:tc>
          <w:tcPr>
            <w:tcW w:w="235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BD1F1F">
        <w:trPr>
          <w:cantSplit/>
          <w:tblHeader/>
        </w:trPr>
        <w:tc>
          <w:tcPr>
            <w:tcW w:w="100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30"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M.Sc/MBA/M.A/M.B.B.S. or equivalent</w:t>
            </w:r>
          </w:p>
        </w:tc>
        <w:tc>
          <w:tcPr>
            <w:tcW w:w="235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Qualified GATE/CSIR/UGC-NET/DST-INSPIRE/JEST/NBHM or </w:t>
            </w:r>
            <w:r>
              <w:rPr>
                <w:rFonts w:ascii="Times New Roman" w:eastAsia="Times New Roman" w:hAnsi="Times New Roman" w:cs="Times New Roman"/>
                <w:color w:val="000000"/>
                <w:sz w:val="24"/>
                <w:szCs w:val="24"/>
                <w:highlight w:val="white"/>
              </w:rPr>
              <w:t>other national fellowship</w:t>
            </w:r>
          </w:p>
        </w:tc>
      </w:tr>
      <w:tr w:rsidR="00BD1F1F">
        <w:trPr>
          <w:cantSplit/>
          <w:tblHeader/>
        </w:trPr>
        <w:tc>
          <w:tcPr>
            <w:tcW w:w="100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30"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B.E./B.Tech. or equivalent four years program</w:t>
            </w:r>
          </w:p>
        </w:tc>
        <w:tc>
          <w:tcPr>
            <w:tcW w:w="2355"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rsidR="00BD1F1F" w:rsidRDefault="009050D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Qualified GATE/CSIR/UGC-NET/DST-INSPIRE/JEST/NBHM or </w:t>
            </w:r>
            <w:r>
              <w:rPr>
                <w:rFonts w:ascii="Times New Roman" w:eastAsia="Times New Roman" w:hAnsi="Times New Roman" w:cs="Times New Roman"/>
                <w:color w:val="000000"/>
                <w:sz w:val="24"/>
                <w:szCs w:val="24"/>
                <w:highlight w:val="white"/>
              </w:rPr>
              <w:t>other national fellowship</w:t>
            </w:r>
          </w:p>
        </w:tc>
      </w:tr>
    </w:tbl>
    <w:p w:rsidR="00BD1F1F" w:rsidRDefault="00BD1F1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F50E76" w:rsidRDefault="00F50E76">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F50E76" w:rsidRDefault="00F50E76">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F50E76" w:rsidRDefault="00F50E76">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F50E76" w:rsidRDefault="00F50E76">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Exemptions:</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Requirement of qualification in GATE / National level Exam is waived off for the following categories of applicants. </w:t>
      </w:r>
    </w:p>
    <w:p w:rsidR="00BD1F1F" w:rsidRDefault="009050DB">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Currently registered candidates in Centrally Funded Technical Institutes (CFTIs) pursuing B.Tech./B.E./ Integrated M.Tech./ Integrated M.Sc. programmes (or any other programme of minimum four year duration, admission to which is on the basis of JEE), who have completed 6 semesters or more, and have CGPA of 8.0 or above (on a 10 point scale). Such candidates must obtain a CGPA of 8.0 or above at the time of graduation, and before they formally register for the Ph.D. programme (80% aggregate marks, if marks is the primary mode of evaluation). </w:t>
      </w:r>
    </w:p>
    <w:p w:rsidR="00BD1F1F" w:rsidRDefault="00BD1F1F">
      <w:pPr>
        <w:rPr>
          <w:rFonts w:ascii="Times New Roman" w:eastAsia="Times New Roman" w:hAnsi="Times New Roman" w:cs="Times New Roman"/>
          <w:b/>
          <w:sz w:val="24"/>
          <w:szCs w:val="24"/>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BD1F1F" w:rsidRDefault="00BD1F1F">
      <w:pPr>
        <w:spacing w:after="0"/>
        <w:rPr>
          <w:rFonts w:ascii="Cambria" w:eastAsia="Cambria" w:hAnsi="Cambria" w:cs="Cambria"/>
          <w:b/>
          <w:color w:val="222222"/>
          <w:sz w:val="28"/>
          <w:szCs w:val="28"/>
          <w:highlight w:val="white"/>
        </w:rPr>
      </w:pPr>
    </w:p>
    <w:p w:rsidR="006C31A7" w:rsidRDefault="006C31A7">
      <w:pPr>
        <w:spacing w:after="0"/>
        <w:rPr>
          <w:rFonts w:ascii="Cambria" w:eastAsia="Cambria" w:hAnsi="Cambria" w:cs="Cambria"/>
          <w:b/>
          <w:color w:val="222222"/>
          <w:sz w:val="28"/>
          <w:szCs w:val="28"/>
          <w:highlight w:val="white"/>
        </w:rPr>
      </w:pPr>
    </w:p>
    <w:p w:rsidR="006C31A7" w:rsidRDefault="006C31A7">
      <w:pPr>
        <w:spacing w:after="0"/>
        <w:rPr>
          <w:rFonts w:ascii="Cambria" w:eastAsia="Cambria" w:hAnsi="Cambria" w:cs="Cambria"/>
          <w:b/>
          <w:color w:val="222222"/>
          <w:sz w:val="28"/>
          <w:szCs w:val="28"/>
          <w:highlight w:val="white"/>
        </w:rPr>
      </w:pPr>
    </w:p>
    <w:p w:rsidR="006C31A7" w:rsidRDefault="006C31A7">
      <w:pPr>
        <w:spacing w:after="0"/>
        <w:rPr>
          <w:rFonts w:ascii="Cambria" w:eastAsia="Cambria" w:hAnsi="Cambria" w:cs="Cambria"/>
          <w:b/>
          <w:color w:val="222222"/>
          <w:sz w:val="28"/>
          <w:szCs w:val="28"/>
          <w:highlight w:val="white"/>
        </w:rPr>
      </w:pPr>
    </w:p>
    <w:p w:rsidR="006C31A7" w:rsidRDefault="006C31A7">
      <w:pPr>
        <w:spacing w:after="0"/>
        <w:rPr>
          <w:rFonts w:ascii="Cambria" w:eastAsia="Cambria" w:hAnsi="Cambria" w:cs="Cambria"/>
          <w:b/>
          <w:color w:val="222222"/>
          <w:sz w:val="28"/>
          <w:szCs w:val="28"/>
          <w:highlight w:val="white"/>
        </w:rPr>
      </w:pPr>
    </w:p>
    <w:p w:rsidR="006C31A7" w:rsidRDefault="006C31A7">
      <w:pPr>
        <w:spacing w:after="0"/>
        <w:rPr>
          <w:rFonts w:ascii="Cambria" w:eastAsia="Cambria" w:hAnsi="Cambria" w:cs="Cambria"/>
          <w:b/>
          <w:color w:val="222222"/>
          <w:sz w:val="28"/>
          <w:szCs w:val="28"/>
          <w:highlight w:val="white"/>
        </w:rPr>
      </w:pPr>
    </w:p>
    <w:p w:rsidR="006C31A7" w:rsidRDefault="006C31A7">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A6208C" w:rsidRDefault="00A6208C">
      <w:pPr>
        <w:spacing w:after="0"/>
        <w:rPr>
          <w:rFonts w:ascii="Cambria" w:eastAsia="Cambria" w:hAnsi="Cambria" w:cs="Cambria"/>
          <w:b/>
          <w:color w:val="222222"/>
          <w:sz w:val="28"/>
          <w:szCs w:val="28"/>
          <w:highlight w:val="white"/>
        </w:rPr>
      </w:pPr>
    </w:p>
    <w:p w:rsidR="00BD1F1F" w:rsidRDefault="009050D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DETAILS OF SEMESTER FEES FOR THE ACADEMIC YEAR 2024-25.</w:t>
      </w:r>
    </w:p>
    <w:p w:rsidR="00BD1F1F" w:rsidRDefault="00BD1F1F">
      <w:pPr>
        <w:spacing w:after="0" w:line="240" w:lineRule="auto"/>
        <w:jc w:val="both"/>
        <w:rPr>
          <w:rFonts w:ascii="Times New Roman" w:eastAsia="Times New Roman" w:hAnsi="Times New Roman" w:cs="Times New Roman"/>
          <w:b/>
          <w:sz w:val="28"/>
          <w:szCs w:val="28"/>
        </w:rPr>
      </w:pPr>
    </w:p>
    <w:tbl>
      <w:tblPr>
        <w:tblStyle w:val="a9"/>
        <w:tblW w:w="9166" w:type="dxa"/>
        <w:jc w:val="center"/>
        <w:tblLayout w:type="fixed"/>
        <w:tblLook w:val="0400"/>
      </w:tblPr>
      <w:tblGrid>
        <w:gridCol w:w="827"/>
        <w:gridCol w:w="4559"/>
        <w:gridCol w:w="1253"/>
        <w:gridCol w:w="1157"/>
        <w:gridCol w:w="1370"/>
      </w:tblGrid>
      <w:tr w:rsidR="00BD1F1F">
        <w:trPr>
          <w:cantSplit/>
          <w:trHeight w:val="900"/>
          <w:tblHeader/>
          <w:jc w:val="center"/>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Sr.No.</w:t>
            </w:r>
          </w:p>
        </w:tc>
        <w:tc>
          <w:tcPr>
            <w:tcW w:w="4559" w:type="dxa"/>
            <w:tcBorders>
              <w:top w:val="single" w:sz="4" w:space="0" w:color="000000"/>
              <w:left w:val="nil"/>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Particulars</w:t>
            </w:r>
          </w:p>
        </w:tc>
        <w:tc>
          <w:tcPr>
            <w:tcW w:w="1253" w:type="dxa"/>
            <w:tcBorders>
              <w:top w:val="single" w:sz="4" w:space="0" w:color="000000"/>
              <w:left w:val="nil"/>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PhD (GEN/ OBC)</w:t>
            </w:r>
          </w:p>
        </w:tc>
        <w:tc>
          <w:tcPr>
            <w:tcW w:w="1157" w:type="dxa"/>
            <w:tcBorders>
              <w:top w:val="single" w:sz="4" w:space="0" w:color="000000"/>
              <w:left w:val="nil"/>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PhD (SC/ ST)</w:t>
            </w:r>
          </w:p>
        </w:tc>
        <w:tc>
          <w:tcPr>
            <w:tcW w:w="1370" w:type="dxa"/>
            <w:tcBorders>
              <w:top w:val="single" w:sz="4" w:space="0" w:color="000000"/>
              <w:left w:val="nil"/>
              <w:bottom w:val="single" w:sz="4" w:space="0" w:color="000000"/>
              <w:right w:val="single" w:sz="4" w:space="0" w:color="000000"/>
            </w:tcBorders>
            <w:shd w:val="clear" w:color="auto" w:fill="auto"/>
          </w:tcPr>
          <w:p w:rsidR="00BD1F1F" w:rsidRDefault="009050DB">
            <w:pPr>
              <w:spacing w:after="0" w:line="240" w:lineRule="auto"/>
              <w:jc w:val="center"/>
              <w:rPr>
                <w:b/>
                <w:color w:val="000000"/>
              </w:rPr>
            </w:pPr>
            <w:r>
              <w:rPr>
                <w:b/>
                <w:color w:val="000000"/>
              </w:rPr>
              <w:t>PhD (Sponsored/ ERP/</w:t>
            </w:r>
          </w:p>
          <w:p w:rsidR="00BD1F1F" w:rsidRDefault="009050DB">
            <w:pPr>
              <w:spacing w:after="0" w:line="240" w:lineRule="auto"/>
              <w:jc w:val="center"/>
              <w:rPr>
                <w:b/>
                <w:color w:val="000000"/>
              </w:rPr>
            </w:pPr>
            <w:r>
              <w:rPr>
                <w:b/>
                <w:color w:val="000000"/>
              </w:rPr>
              <w:t>Part time)</w:t>
            </w:r>
          </w:p>
        </w:tc>
      </w:tr>
      <w:tr w:rsidR="00BD1F1F">
        <w:trPr>
          <w:cantSplit/>
          <w:trHeight w:val="300"/>
          <w:tblHeader/>
          <w:jc w:val="center"/>
        </w:trPr>
        <w:tc>
          <w:tcPr>
            <w:tcW w:w="827" w:type="dxa"/>
            <w:vMerge w:val="restart"/>
            <w:tcBorders>
              <w:top w:val="nil"/>
              <w:left w:val="single" w:sz="4" w:space="0" w:color="000000"/>
              <w:bottom w:val="single" w:sz="4" w:space="0" w:color="000000"/>
              <w:right w:val="single" w:sz="4" w:space="0" w:color="000000"/>
            </w:tcBorders>
            <w:shd w:val="clear" w:color="auto" w:fill="auto"/>
          </w:tcPr>
          <w:p w:rsidR="00BD1F1F" w:rsidRDefault="009050DB">
            <w:pPr>
              <w:spacing w:after="0" w:line="240" w:lineRule="auto"/>
              <w:jc w:val="center"/>
              <w:rPr>
                <w:color w:val="000000"/>
              </w:rPr>
            </w:pPr>
            <w:r>
              <w:rPr>
                <w:color w:val="000000"/>
              </w:rPr>
              <w:t>1</w:t>
            </w:r>
          </w:p>
        </w:tc>
        <w:tc>
          <w:tcPr>
            <w:tcW w:w="4559" w:type="dxa"/>
            <w:tcBorders>
              <w:top w:val="nil"/>
              <w:left w:val="nil"/>
              <w:bottom w:val="single" w:sz="4" w:space="0" w:color="000000"/>
              <w:right w:val="single" w:sz="4" w:space="0" w:color="000000"/>
            </w:tcBorders>
            <w:shd w:val="clear" w:color="auto" w:fill="auto"/>
          </w:tcPr>
          <w:p w:rsidR="00BD1F1F" w:rsidRDefault="009050DB">
            <w:pPr>
              <w:spacing w:after="0" w:line="240" w:lineRule="auto"/>
              <w:rPr>
                <w:color w:val="000000"/>
              </w:rPr>
            </w:pPr>
            <w:r>
              <w:rPr>
                <w:color w:val="000000"/>
              </w:rPr>
              <w:t>SEMESTER FEES</w:t>
            </w:r>
          </w:p>
        </w:tc>
        <w:tc>
          <w:tcPr>
            <w:tcW w:w="1253" w:type="dxa"/>
            <w:tcBorders>
              <w:top w:val="nil"/>
              <w:left w:val="nil"/>
              <w:bottom w:val="single" w:sz="4" w:space="0" w:color="000000"/>
              <w:right w:val="single" w:sz="4" w:space="0" w:color="000000"/>
            </w:tcBorders>
            <w:shd w:val="clear" w:color="auto" w:fill="FFFFFF"/>
          </w:tcPr>
          <w:p w:rsidR="00BD1F1F" w:rsidRDefault="009050DB">
            <w:pPr>
              <w:spacing w:after="0" w:line="240" w:lineRule="auto"/>
              <w:jc w:val="center"/>
              <w:rPr>
                <w:color w:val="000000"/>
              </w:rPr>
            </w:pPr>
            <w:r>
              <w:rPr>
                <w:color w:val="000000"/>
              </w:rPr>
              <w:t>(INR)</w:t>
            </w:r>
          </w:p>
        </w:tc>
        <w:tc>
          <w:tcPr>
            <w:tcW w:w="1157" w:type="dxa"/>
            <w:tcBorders>
              <w:top w:val="nil"/>
              <w:left w:val="nil"/>
              <w:bottom w:val="single" w:sz="4" w:space="0" w:color="000000"/>
              <w:right w:val="single" w:sz="4" w:space="0" w:color="000000"/>
            </w:tcBorders>
            <w:shd w:val="clear" w:color="auto" w:fill="FFFFFF"/>
          </w:tcPr>
          <w:p w:rsidR="00BD1F1F" w:rsidRDefault="009050DB">
            <w:pPr>
              <w:spacing w:after="0" w:line="240" w:lineRule="auto"/>
              <w:jc w:val="center"/>
              <w:rPr>
                <w:color w:val="000000"/>
              </w:rPr>
            </w:pPr>
            <w:r>
              <w:rPr>
                <w:color w:val="000000"/>
              </w:rPr>
              <w:t>(INR)</w:t>
            </w:r>
          </w:p>
        </w:tc>
        <w:tc>
          <w:tcPr>
            <w:tcW w:w="1370" w:type="dxa"/>
            <w:tcBorders>
              <w:top w:val="nil"/>
              <w:left w:val="nil"/>
              <w:bottom w:val="single" w:sz="4" w:space="0" w:color="000000"/>
              <w:right w:val="single" w:sz="4" w:space="0" w:color="000000"/>
            </w:tcBorders>
            <w:shd w:val="clear" w:color="auto" w:fill="FFFFFF"/>
          </w:tcPr>
          <w:p w:rsidR="00BD1F1F" w:rsidRDefault="009050DB">
            <w:pPr>
              <w:spacing w:after="0" w:line="240" w:lineRule="auto"/>
              <w:jc w:val="center"/>
              <w:rPr>
                <w:color w:val="000000"/>
              </w:rPr>
            </w:pPr>
            <w:r>
              <w:rPr>
                <w:color w:val="000000"/>
              </w:rPr>
              <w:t>(INR)</w:t>
            </w:r>
          </w:p>
        </w:tc>
      </w:tr>
      <w:tr w:rsidR="00BD1F1F">
        <w:trPr>
          <w:cantSplit/>
          <w:trHeight w:val="3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auto"/>
          </w:tcPr>
          <w:p w:rsidR="00BD1F1F" w:rsidRDefault="009050DB">
            <w:pPr>
              <w:spacing w:after="0" w:line="240" w:lineRule="auto"/>
              <w:rPr>
                <w:color w:val="000000"/>
              </w:rPr>
            </w:pPr>
            <w:r>
              <w:rPr>
                <w:color w:val="000000"/>
              </w:rPr>
              <w:t>Tuition Fee</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5000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17500</w:t>
            </w:r>
          </w:p>
        </w:tc>
      </w:tr>
      <w:tr w:rsidR="00BD1F1F">
        <w:trPr>
          <w:cantSplit/>
          <w:trHeight w:val="6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color w:val="000000"/>
              </w:rPr>
            </w:pPr>
            <w:r>
              <w:rPr>
                <w:b/>
                <w:color w:val="000000"/>
              </w:rPr>
              <w:t xml:space="preserve">Academic Fees: </w:t>
            </w:r>
            <w:r>
              <w:rPr>
                <w:color w:val="000000"/>
              </w:rPr>
              <w:t xml:space="preserve">Examination Fee, Registration/Enrolment Fee, </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1100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1100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1100</w:t>
            </w:r>
          </w:p>
        </w:tc>
      </w:tr>
      <w:tr w:rsidR="00BD1F1F">
        <w:trPr>
          <w:cantSplit/>
          <w:trHeight w:val="9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b/>
                <w:color w:val="000000"/>
              </w:rPr>
            </w:pPr>
            <w:r>
              <w:rPr>
                <w:b/>
                <w:color w:val="000000"/>
              </w:rPr>
              <w:t xml:space="preserve">Other fees: </w:t>
            </w:r>
            <w:r>
              <w:rPr>
                <w:color w:val="000000"/>
              </w:rPr>
              <w:t xml:space="preserve">Medical fee, Library, Laboratory &amp; Other facilities, Gymkhana fee and Hostel Development fund, </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6400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6400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6400</w:t>
            </w:r>
          </w:p>
        </w:tc>
      </w:tr>
      <w:tr w:rsidR="00BD1F1F">
        <w:trPr>
          <w:cantSplit/>
          <w:trHeight w:val="6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b/>
                <w:color w:val="000000"/>
              </w:rPr>
            </w:pPr>
            <w:r>
              <w:rPr>
                <w:b/>
                <w:color w:val="000000"/>
              </w:rPr>
              <w:t xml:space="preserve">Hostel fees: </w:t>
            </w:r>
            <w:r>
              <w:rPr>
                <w:color w:val="000000"/>
              </w:rPr>
              <w:t>Hostel Seat Rent, Fan, Electricity &amp; Water charges, Student Amenities fee</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6000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6000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color w:val="000000"/>
              </w:rPr>
            </w:pPr>
            <w:r>
              <w:rPr>
                <w:color w:val="000000"/>
              </w:rPr>
              <w:t>6000</w:t>
            </w:r>
          </w:p>
        </w:tc>
      </w:tr>
      <w:tr w:rsidR="00BD1F1F">
        <w:trPr>
          <w:cantSplit/>
          <w:trHeight w:val="300"/>
          <w:tblHeader/>
          <w:jc w:val="center"/>
        </w:trPr>
        <w:tc>
          <w:tcPr>
            <w:tcW w:w="827" w:type="dxa"/>
            <w:vMerge/>
            <w:tcBorders>
              <w:top w:val="nil"/>
              <w:left w:val="single" w:sz="4" w:space="0" w:color="000000"/>
              <w:bottom w:val="single" w:sz="4" w:space="0" w:color="000000"/>
              <w:right w:val="single" w:sz="4" w:space="0" w:color="000000"/>
            </w:tcBorders>
            <w:shd w:val="clear" w:color="auto" w:fill="auto"/>
          </w:tcPr>
          <w:p w:rsidR="00BD1F1F" w:rsidRDefault="00BD1F1F">
            <w:pPr>
              <w:widowControl w:val="0"/>
              <w:pBdr>
                <w:top w:val="nil"/>
                <w:left w:val="nil"/>
                <w:bottom w:val="nil"/>
                <w:right w:val="nil"/>
                <w:between w:val="nil"/>
              </w:pBdr>
              <w:spacing w:after="0"/>
              <w:rPr>
                <w:color w:val="000000"/>
              </w:rPr>
            </w:pPr>
          </w:p>
        </w:tc>
        <w:tc>
          <w:tcPr>
            <w:tcW w:w="4559" w:type="dxa"/>
            <w:tcBorders>
              <w:top w:val="nil"/>
              <w:left w:val="nil"/>
              <w:bottom w:val="single" w:sz="4" w:space="0" w:color="000000"/>
              <w:right w:val="single" w:sz="4" w:space="0" w:color="000000"/>
            </w:tcBorders>
            <w:shd w:val="clear" w:color="auto" w:fill="auto"/>
          </w:tcPr>
          <w:p w:rsidR="00BD1F1F" w:rsidRDefault="009050DB">
            <w:pPr>
              <w:spacing w:after="0" w:line="240" w:lineRule="auto"/>
              <w:rPr>
                <w:b/>
                <w:color w:val="000000"/>
              </w:rPr>
            </w:pPr>
            <w:r>
              <w:rPr>
                <w:b/>
                <w:color w:val="000000"/>
              </w:rPr>
              <w:t>TOTAL(Semester Fees to be paid)</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18500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13500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31000</w:t>
            </w:r>
          </w:p>
        </w:tc>
      </w:tr>
      <w:tr w:rsidR="00BD1F1F">
        <w:trPr>
          <w:cantSplit/>
          <w:trHeight w:val="600"/>
          <w:tblHeader/>
          <w:jc w:val="center"/>
        </w:trPr>
        <w:tc>
          <w:tcPr>
            <w:tcW w:w="827" w:type="dxa"/>
            <w:tcBorders>
              <w:top w:val="nil"/>
              <w:left w:val="single" w:sz="4" w:space="0" w:color="000000"/>
              <w:bottom w:val="single" w:sz="4" w:space="0" w:color="000000"/>
              <w:right w:val="single" w:sz="4" w:space="0" w:color="000000"/>
            </w:tcBorders>
            <w:shd w:val="clear" w:color="auto" w:fill="auto"/>
          </w:tcPr>
          <w:p w:rsidR="00BD1F1F" w:rsidRDefault="009050DB">
            <w:pPr>
              <w:spacing w:after="0" w:line="240" w:lineRule="auto"/>
              <w:jc w:val="center"/>
              <w:rPr>
                <w:color w:val="000000"/>
              </w:rPr>
            </w:pPr>
            <w:r>
              <w:rPr>
                <w:color w:val="000000"/>
              </w:rPr>
              <w:t>2</w:t>
            </w: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color w:val="000000"/>
              </w:rPr>
            </w:pPr>
            <w:r>
              <w:rPr>
                <w:b/>
                <w:color w:val="000000"/>
              </w:rPr>
              <w:t>ONE TIME PAYMENTS (Non-Refundable)</w:t>
            </w:r>
            <w:r>
              <w:rPr>
                <w:color w:val="000000"/>
              </w:rPr>
              <w:br/>
              <w:t>To be paid at the time of admission.</w:t>
            </w:r>
          </w:p>
          <w:p w:rsidR="00BD1F1F" w:rsidRDefault="00BD1F1F">
            <w:pPr>
              <w:spacing w:after="0" w:line="240" w:lineRule="auto"/>
              <w:rPr>
                <w:color w:val="000000"/>
              </w:rPr>
            </w:pPr>
          </w:p>
          <w:p w:rsidR="00BD1F1F" w:rsidRDefault="009050DB">
            <w:pPr>
              <w:spacing w:after="0" w:line="240" w:lineRule="auto"/>
              <w:rPr>
                <w:color w:val="000000"/>
              </w:rPr>
            </w:pPr>
            <w:r>
              <w:rPr>
                <w:color w:val="000000"/>
              </w:rPr>
              <w:t>Admission Fees, Grade Card, Provisional Certificate, Thesis fee, Student Welfare fund, Benevolent fund, Modernization fees, Identity card and Alumni Affairs fee</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10100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10100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10100</w:t>
            </w:r>
          </w:p>
        </w:tc>
      </w:tr>
      <w:tr w:rsidR="00BD1F1F">
        <w:trPr>
          <w:cantSplit/>
          <w:trHeight w:val="600"/>
          <w:tblHeader/>
          <w:jc w:val="center"/>
        </w:trPr>
        <w:tc>
          <w:tcPr>
            <w:tcW w:w="827" w:type="dxa"/>
            <w:tcBorders>
              <w:top w:val="nil"/>
              <w:left w:val="single" w:sz="4" w:space="0" w:color="000000"/>
              <w:bottom w:val="single" w:sz="4" w:space="0" w:color="000000"/>
              <w:right w:val="single" w:sz="4" w:space="0" w:color="000000"/>
            </w:tcBorders>
            <w:shd w:val="clear" w:color="auto" w:fill="auto"/>
          </w:tcPr>
          <w:p w:rsidR="00BD1F1F" w:rsidRDefault="009050DB">
            <w:pPr>
              <w:spacing w:after="0" w:line="240" w:lineRule="auto"/>
              <w:jc w:val="center"/>
              <w:rPr>
                <w:color w:val="000000"/>
              </w:rPr>
            </w:pPr>
            <w:r>
              <w:rPr>
                <w:color w:val="000000"/>
              </w:rPr>
              <w:t>3</w:t>
            </w:r>
          </w:p>
        </w:tc>
        <w:tc>
          <w:tcPr>
            <w:tcW w:w="4559" w:type="dxa"/>
            <w:tcBorders>
              <w:top w:val="single" w:sz="4" w:space="0" w:color="000000"/>
              <w:left w:val="nil"/>
              <w:bottom w:val="single" w:sz="4" w:space="0" w:color="000000"/>
              <w:right w:val="single" w:sz="4" w:space="0" w:color="000000"/>
            </w:tcBorders>
            <w:shd w:val="clear" w:color="auto" w:fill="FFFFFF"/>
          </w:tcPr>
          <w:p w:rsidR="00BD1F1F" w:rsidRDefault="009050DB">
            <w:pPr>
              <w:spacing w:after="0" w:line="240" w:lineRule="auto"/>
              <w:rPr>
                <w:color w:val="000000"/>
              </w:rPr>
            </w:pPr>
            <w:r>
              <w:rPr>
                <w:b/>
                <w:color w:val="000000"/>
              </w:rPr>
              <w:t>Deposits (Refundable)</w:t>
            </w:r>
            <w:r>
              <w:rPr>
                <w:color w:val="000000"/>
              </w:rPr>
              <w:br/>
              <w:t>Institute and Library security deposits</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10000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10000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10000</w:t>
            </w:r>
          </w:p>
        </w:tc>
      </w:tr>
      <w:tr w:rsidR="00BD1F1F">
        <w:trPr>
          <w:cantSplit/>
          <w:trHeight w:val="900"/>
          <w:tblHeader/>
          <w:jc w:val="center"/>
        </w:trPr>
        <w:tc>
          <w:tcPr>
            <w:tcW w:w="827" w:type="dxa"/>
            <w:tcBorders>
              <w:top w:val="nil"/>
              <w:left w:val="single" w:sz="4" w:space="0" w:color="000000"/>
              <w:bottom w:val="nil"/>
              <w:right w:val="single" w:sz="4" w:space="0" w:color="000000"/>
            </w:tcBorders>
            <w:shd w:val="clear" w:color="auto" w:fill="auto"/>
          </w:tcPr>
          <w:p w:rsidR="00BD1F1F" w:rsidRDefault="009050DB">
            <w:pPr>
              <w:spacing w:after="0" w:line="240" w:lineRule="auto"/>
              <w:jc w:val="center"/>
              <w:rPr>
                <w:color w:val="000000"/>
              </w:rPr>
            </w:pPr>
            <w:r>
              <w:rPr>
                <w:color w:val="000000"/>
              </w:rPr>
              <w:t>4</w:t>
            </w:r>
          </w:p>
        </w:tc>
        <w:tc>
          <w:tcPr>
            <w:tcW w:w="4559" w:type="dxa"/>
            <w:tcBorders>
              <w:top w:val="nil"/>
              <w:left w:val="nil"/>
              <w:bottom w:val="single" w:sz="4" w:space="0" w:color="000000"/>
              <w:right w:val="single" w:sz="4" w:space="0" w:color="000000"/>
            </w:tcBorders>
            <w:shd w:val="clear" w:color="auto" w:fill="FFFFFF"/>
          </w:tcPr>
          <w:p w:rsidR="00BD1F1F" w:rsidRDefault="009050DB">
            <w:pPr>
              <w:spacing w:after="0" w:line="240" w:lineRule="auto"/>
              <w:rPr>
                <w:b/>
                <w:color w:val="000000"/>
              </w:rPr>
            </w:pPr>
            <w:r>
              <w:rPr>
                <w:b/>
              </w:rPr>
              <w:t>OTHER PAYMENTS</w:t>
            </w:r>
            <w:r>
              <w:rPr>
                <w:b/>
                <w:color w:val="000000"/>
              </w:rPr>
              <w:br/>
            </w:r>
            <w:r>
              <w:rPr>
                <w:color w:val="000000"/>
              </w:rPr>
              <w:t xml:space="preserve">Insurance scheme (to be paid every year in </w:t>
            </w:r>
            <w:r>
              <w:t>1st semester</w:t>
            </w:r>
            <w:r>
              <w:rPr>
                <w:color w:val="000000"/>
              </w:rPr>
              <w:t>)</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750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750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750</w:t>
            </w:r>
          </w:p>
        </w:tc>
      </w:tr>
      <w:tr w:rsidR="00BD1F1F">
        <w:trPr>
          <w:cantSplit/>
          <w:trHeight w:val="300"/>
          <w:tblHeader/>
          <w:jc w:val="center"/>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BD1F1F" w:rsidRDefault="009050DB">
            <w:pPr>
              <w:spacing w:after="0" w:line="240" w:lineRule="auto"/>
              <w:rPr>
                <w:color w:val="000000"/>
              </w:rPr>
            </w:pPr>
            <w:r>
              <w:rPr>
                <w:color w:val="000000"/>
              </w:rPr>
              <w:t> </w:t>
            </w:r>
          </w:p>
        </w:tc>
        <w:tc>
          <w:tcPr>
            <w:tcW w:w="4559" w:type="dxa"/>
            <w:tcBorders>
              <w:top w:val="nil"/>
              <w:left w:val="nil"/>
              <w:bottom w:val="single" w:sz="4" w:space="0" w:color="000000"/>
              <w:right w:val="single" w:sz="4" w:space="0" w:color="000000"/>
            </w:tcBorders>
            <w:shd w:val="clear" w:color="auto" w:fill="auto"/>
          </w:tcPr>
          <w:p w:rsidR="00BD1F1F" w:rsidRDefault="009050DB">
            <w:pPr>
              <w:spacing w:after="0" w:line="240" w:lineRule="auto"/>
              <w:rPr>
                <w:color w:val="000000"/>
              </w:rPr>
            </w:pPr>
            <w:r>
              <w:rPr>
                <w:color w:val="000000"/>
              </w:rPr>
              <w:t>TOTAL FEES</w:t>
            </w:r>
          </w:p>
        </w:tc>
        <w:tc>
          <w:tcPr>
            <w:tcW w:w="1253"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39350</w:t>
            </w:r>
          </w:p>
        </w:tc>
        <w:tc>
          <w:tcPr>
            <w:tcW w:w="1157"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34350</w:t>
            </w:r>
          </w:p>
        </w:tc>
        <w:tc>
          <w:tcPr>
            <w:tcW w:w="1370" w:type="dxa"/>
            <w:tcBorders>
              <w:top w:val="nil"/>
              <w:left w:val="nil"/>
              <w:bottom w:val="single" w:sz="4" w:space="0" w:color="000000"/>
              <w:right w:val="single" w:sz="4" w:space="0" w:color="000000"/>
            </w:tcBorders>
            <w:shd w:val="clear" w:color="auto" w:fill="auto"/>
            <w:vAlign w:val="center"/>
          </w:tcPr>
          <w:p w:rsidR="00BD1F1F" w:rsidRDefault="009050DB">
            <w:pPr>
              <w:spacing w:after="0" w:line="240" w:lineRule="auto"/>
              <w:jc w:val="right"/>
              <w:rPr>
                <w:b/>
                <w:color w:val="000000"/>
              </w:rPr>
            </w:pPr>
            <w:r>
              <w:rPr>
                <w:b/>
                <w:color w:val="000000"/>
              </w:rPr>
              <w:t>51850</w:t>
            </w:r>
          </w:p>
        </w:tc>
      </w:tr>
      <w:tr w:rsidR="00BD1F1F">
        <w:trPr>
          <w:cantSplit/>
          <w:trHeight w:val="300"/>
          <w:tblHeader/>
          <w:jc w:val="center"/>
        </w:trPr>
        <w:tc>
          <w:tcPr>
            <w:tcW w:w="827" w:type="dxa"/>
            <w:tcBorders>
              <w:top w:val="nil"/>
              <w:left w:val="nil"/>
              <w:bottom w:val="nil"/>
              <w:right w:val="nil"/>
            </w:tcBorders>
            <w:shd w:val="clear" w:color="auto" w:fill="auto"/>
            <w:vAlign w:val="bottom"/>
          </w:tcPr>
          <w:p w:rsidR="00BD1F1F" w:rsidRDefault="00BD1F1F">
            <w:pPr>
              <w:spacing w:after="0" w:line="240" w:lineRule="auto"/>
              <w:jc w:val="right"/>
              <w:rPr>
                <w:b/>
                <w:color w:val="000000"/>
              </w:rPr>
            </w:pPr>
          </w:p>
        </w:tc>
        <w:tc>
          <w:tcPr>
            <w:tcW w:w="4559" w:type="dxa"/>
            <w:tcBorders>
              <w:top w:val="nil"/>
              <w:left w:val="nil"/>
              <w:bottom w:val="nil"/>
              <w:right w:val="nil"/>
            </w:tcBorders>
            <w:shd w:val="clear" w:color="auto" w:fill="auto"/>
            <w:vAlign w:val="bottom"/>
          </w:tcPr>
          <w:p w:rsidR="00BD1F1F" w:rsidRDefault="00BD1F1F">
            <w:pPr>
              <w:spacing w:after="0" w:line="240" w:lineRule="auto"/>
              <w:rPr>
                <w:sz w:val="20"/>
                <w:szCs w:val="20"/>
              </w:rPr>
            </w:pPr>
          </w:p>
        </w:tc>
        <w:tc>
          <w:tcPr>
            <w:tcW w:w="1253" w:type="dxa"/>
            <w:tcBorders>
              <w:top w:val="nil"/>
              <w:left w:val="nil"/>
              <w:bottom w:val="nil"/>
              <w:right w:val="nil"/>
            </w:tcBorders>
            <w:shd w:val="clear" w:color="auto" w:fill="auto"/>
            <w:vAlign w:val="bottom"/>
          </w:tcPr>
          <w:p w:rsidR="00BD1F1F" w:rsidRDefault="00BD1F1F">
            <w:pPr>
              <w:spacing w:after="0" w:line="240" w:lineRule="auto"/>
              <w:rPr>
                <w:sz w:val="20"/>
                <w:szCs w:val="20"/>
              </w:rPr>
            </w:pPr>
          </w:p>
        </w:tc>
        <w:tc>
          <w:tcPr>
            <w:tcW w:w="1157" w:type="dxa"/>
            <w:tcBorders>
              <w:top w:val="nil"/>
              <w:left w:val="nil"/>
              <w:bottom w:val="nil"/>
              <w:right w:val="nil"/>
            </w:tcBorders>
            <w:shd w:val="clear" w:color="auto" w:fill="auto"/>
            <w:vAlign w:val="bottom"/>
          </w:tcPr>
          <w:p w:rsidR="00BD1F1F" w:rsidRDefault="00BD1F1F">
            <w:pPr>
              <w:spacing w:after="0" w:line="240" w:lineRule="auto"/>
              <w:rPr>
                <w:sz w:val="20"/>
                <w:szCs w:val="20"/>
              </w:rPr>
            </w:pPr>
          </w:p>
        </w:tc>
        <w:tc>
          <w:tcPr>
            <w:tcW w:w="1370" w:type="dxa"/>
            <w:tcBorders>
              <w:top w:val="nil"/>
              <w:left w:val="nil"/>
              <w:bottom w:val="nil"/>
              <w:right w:val="nil"/>
            </w:tcBorders>
            <w:shd w:val="clear" w:color="auto" w:fill="auto"/>
            <w:vAlign w:val="bottom"/>
          </w:tcPr>
          <w:p w:rsidR="00BD1F1F" w:rsidRDefault="00BD1F1F">
            <w:pPr>
              <w:spacing w:after="0" w:line="240" w:lineRule="auto"/>
              <w:rPr>
                <w:sz w:val="20"/>
                <w:szCs w:val="20"/>
              </w:rPr>
            </w:pPr>
          </w:p>
        </w:tc>
      </w:tr>
    </w:tbl>
    <w:p w:rsidR="00BD1F1F" w:rsidRDefault="009050DB">
      <w:pPr>
        <w:spacing w:line="24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The fees </w:t>
      </w:r>
      <w:r>
        <w:rPr>
          <w:rFonts w:ascii="Times New Roman" w:eastAsia="Times New Roman" w:hAnsi="Times New Roman" w:cs="Times New Roman"/>
          <w:i/>
          <w:sz w:val="24"/>
          <w:szCs w:val="24"/>
          <w:highlight w:val="white"/>
        </w:rPr>
        <w:t>are subject</w:t>
      </w:r>
      <w:r>
        <w:rPr>
          <w:rFonts w:ascii="Times New Roman" w:eastAsia="Times New Roman" w:hAnsi="Times New Roman" w:cs="Times New Roman"/>
          <w:i/>
          <w:color w:val="000000"/>
          <w:sz w:val="24"/>
          <w:szCs w:val="24"/>
          <w:highlight w:val="white"/>
        </w:rPr>
        <w:t xml:space="preserve"> to revision as per Institute Rules.</w:t>
      </w:r>
    </w:p>
    <w:p w:rsidR="00BD1F1F" w:rsidRDefault="009050DB">
      <w:pPr>
        <w:spacing w:line="24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Mess charges will be notified separately.</w:t>
      </w:r>
    </w:p>
    <w:p w:rsidR="00BD1F1F" w:rsidRDefault="00BD1F1F">
      <w:pPr>
        <w:spacing w:line="240" w:lineRule="auto"/>
        <w:jc w:val="both"/>
        <w:rPr>
          <w:rFonts w:ascii="Times New Roman" w:eastAsia="Times New Roman" w:hAnsi="Times New Roman" w:cs="Times New Roman"/>
          <w:b/>
          <w:sz w:val="24"/>
          <w:szCs w:val="24"/>
        </w:rPr>
      </w:pPr>
    </w:p>
    <w:p w:rsidR="00BD1F1F" w:rsidRDefault="009050DB">
      <w:pPr>
        <w:rPr>
          <w:rFonts w:ascii="Times New Roman" w:eastAsia="Times New Roman" w:hAnsi="Times New Roman" w:cs="Times New Roman"/>
          <w:b/>
          <w:sz w:val="24"/>
          <w:szCs w:val="24"/>
        </w:rPr>
      </w:pPr>
      <w:r>
        <w:br w:type="page"/>
      </w:r>
    </w:p>
    <w:p w:rsidR="00BD1F1F" w:rsidRDefault="009050D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REGISTRATION FOR THE Ph.D. DEGREE</w:t>
      </w:r>
    </w:p>
    <w:p w:rsidR="00BD1F1F" w:rsidRDefault="009050DB">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31F20"/>
          <w:sz w:val="24"/>
          <w:szCs w:val="24"/>
        </w:rPr>
        <w:t xml:space="preserve">The selected candidates who have submitted the institute fee will be provided the Entry No. and institute email ID after the verification of all their testimonials. </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joining Ph.D programme are required to produce their original marks/grade sheets along with provisional certificates at the time of admission.</w:t>
      </w:r>
    </w:p>
    <w:p w:rsidR="00BD1F1F" w:rsidRDefault="009050DB">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Documents to be submitted for verification at the time of interview/admission: </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Printed copy of the application form obtained after online registration. </w:t>
      </w:r>
    </w:p>
    <w:p w:rsidR="00BD1F1F" w:rsidRDefault="009050DB">
      <w:pPr>
        <w:spacing w:after="15"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 xml:space="preserve">Mark sheets/Grade cards of all semesters &amp; Course completion certificate / Provisional certificate / Degree certificate beginning from first degree towards proof of qualification. </w:t>
      </w:r>
    </w:p>
    <w:p w:rsidR="00BD1F1F" w:rsidRDefault="009050DB">
      <w:pPr>
        <w:spacing w:after="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t xml:space="preserve">Copy of GATE score card or UGC - JRF/NET/CSIR-JRF/ DAE-JEST or other fellowship award letter. </w:t>
      </w:r>
    </w:p>
    <w:p w:rsidR="00BD1F1F" w:rsidRDefault="009050DB">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ab/>
        <w:t xml:space="preserve">SC/ST/OBC-NCL community certificate for the candidates belonging to SC/ST/OBC-NCL category issued by the respective State Government. [OBC-NCL candidates should produce the latest valid OBC Non-creamy layer community certificate in the prescribed format obtained after 31/03/2023]. </w:t>
      </w:r>
    </w:p>
    <w:p w:rsidR="00BD1F1F" w:rsidRDefault="00BD1F1F">
      <w:pPr>
        <w:spacing w:after="0" w:line="240" w:lineRule="auto"/>
        <w:jc w:val="both"/>
        <w:rPr>
          <w:rFonts w:ascii="Times New Roman" w:eastAsia="Times New Roman" w:hAnsi="Times New Roman" w:cs="Times New Roman"/>
          <w:color w:val="000000"/>
          <w:sz w:val="24"/>
          <w:szCs w:val="24"/>
        </w:rPr>
      </w:pPr>
    </w:p>
    <w:p w:rsidR="00BD1F1F" w:rsidRDefault="009050D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candidates claiming for EWS (Economically Weaker sections) reservation should </w:t>
      </w:r>
    </w:p>
    <w:p w:rsidR="00BD1F1F" w:rsidRDefault="009050D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submit valid Income &amp; Assets certificate in the prescribed format obtained after 31/03/2023. </w:t>
      </w:r>
    </w:p>
    <w:p w:rsidR="00BD1F1F" w:rsidRDefault="009050DB">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ab/>
        <w:t xml:space="preserve">Authorised Doctor’s Certificate with disability descriptions in the case of Person with Disability (PwD) candidates. </w:t>
      </w:r>
    </w:p>
    <w:p w:rsidR="00BD1F1F" w:rsidRDefault="009050DB">
      <w:pPr>
        <w:spacing w:after="0" w:line="240" w:lineRule="auto"/>
        <w:ind w:left="720" w:hanging="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color w:val="000000"/>
          <w:sz w:val="24"/>
          <w:szCs w:val="24"/>
        </w:rPr>
        <w:tab/>
        <w:t xml:space="preserve">For Part-time candidates, NOC from the present employer should be submitted as per the prescribed format. </w:t>
      </w: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Facility available at IIT Ropar</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is actively involved in collaborative programs with international organizations and universities. The institute has the following facilities other than the basic academic facilities. Virtual Classrooms (NKN) Two virtual classrooms have been set up at IIT Ropar. NKN </w:t>
      </w:r>
      <w:r>
        <w:rPr>
          <w:rFonts w:ascii="Times New Roman" w:eastAsia="Times New Roman" w:hAnsi="Times New Roman" w:cs="Times New Roman"/>
          <w:sz w:val="24"/>
          <w:szCs w:val="24"/>
        </w:rPr>
        <w:t>interconnects</w:t>
      </w:r>
      <w:r>
        <w:rPr>
          <w:rFonts w:ascii="Times New Roman" w:eastAsia="Times New Roman" w:hAnsi="Times New Roman" w:cs="Times New Roman"/>
          <w:color w:val="000000"/>
          <w:sz w:val="24"/>
          <w:szCs w:val="24"/>
        </w:rPr>
        <w:t xml:space="preserve"> the institutions engaged in research, higher education and scientific development in the country.</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Library:</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4"/>
          <w:szCs w:val="24"/>
        </w:rPr>
        <w:t>The Central Library functions as the primary information resource centre and repository of printed and electronic resources for teaching and research activities at the institute. Apart from textbooks and recommended reading materials prescribed for each course offered at the institute, the library houses a growing collection of research monographs, reports, multi-volume reference works, dictionaries, encyclopaedias, handbooks, and so on. The library facilitates access to electronic journals through its participation in consortia, such as E-Shodh Sindhu. The library also subscribes to several e-journals directly from publishers as well as through reputed subscription agencies. At present, users can consult more than 20,000 books (available on shelves) and thousands of electronic books, journals. Online access is also provided to economic and political databases, scientometric databases such as Scopus, MathSciNet, and Web of Science.</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4"/>
          <w:szCs w:val="24"/>
        </w:rPr>
        <w:t xml:space="preserve">The library operations are automated using LIBSYS 7 (EJB Version) software. The Online Public Access Catalogue (OPAC) which is on the public domain enables users to search documents in possession of the library. The library is using the Radio Frequency Identification Technology (RFID), a state-of-the-art auto-identification technique that helps in self-servicing and enhanced security. A separate e-resources section is provided in the library to browse CDs and DVDs of books, theses, and dissertations. The library has </w:t>
      </w:r>
      <w:r>
        <w:rPr>
          <w:rFonts w:ascii="Times New Roman" w:eastAsia="Times New Roman" w:hAnsi="Times New Roman" w:cs="Times New Roman"/>
          <w:color w:val="000000"/>
          <w:sz w:val="24"/>
          <w:szCs w:val="24"/>
        </w:rPr>
        <w:lastRenderedPageBreak/>
        <w:t>developed an institutional digital repository (IDR) using open source software (DSpace) to archive and provide online access to the intellectual output of the institute. IDR is available publicly. These steps will greatly enhance the library's efficiency in making the resources available to the academic community at large and also enable the institute to participate in various inter-library initiatives at national and international levels. The library has developed a web-based Subject/Research Guide using the Subject plus tool, with this tool users can explore all the library resources available based on their subject areas/areas of interest. This guide includes E-journals, books/E-books, databases, theses &amp; dissertations.</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Hostel Accommodation</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campus has four boys </w:t>
      </w:r>
      <w:r>
        <w:rPr>
          <w:rFonts w:ascii="Times New Roman" w:eastAsia="Times New Roman" w:hAnsi="Times New Roman" w:cs="Times New Roman"/>
          <w:sz w:val="24"/>
          <w:szCs w:val="24"/>
        </w:rPr>
        <w:t xml:space="preserve">hostels </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atluj, Beas, Chenab, Brahmaputra)</w:t>
      </w:r>
      <w:r>
        <w:rPr>
          <w:rFonts w:ascii="Times New Roman" w:eastAsia="Times New Roman" w:hAnsi="Times New Roman" w:cs="Times New Roman"/>
          <w:color w:val="000000"/>
          <w:sz w:val="24"/>
          <w:szCs w:val="24"/>
        </w:rPr>
        <w:t xml:space="preserve"> and 3 girl hostel (Raavi, </w:t>
      </w:r>
      <w:r>
        <w:rPr>
          <w:rFonts w:ascii="Times New Roman" w:eastAsia="Times New Roman" w:hAnsi="Times New Roman" w:cs="Times New Roman"/>
          <w:sz w:val="24"/>
          <w:szCs w:val="24"/>
        </w:rPr>
        <w:t>Brahmaputra, T6</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total capacity of 2984 available </w:t>
      </w:r>
      <w:r>
        <w:rPr>
          <w:rFonts w:ascii="Times New Roman" w:eastAsia="Times New Roman" w:hAnsi="Times New Roman" w:cs="Times New Roman"/>
          <w:sz w:val="24"/>
          <w:szCs w:val="24"/>
        </w:rPr>
        <w:t>at the main</w:t>
      </w:r>
      <w:r>
        <w:rPr>
          <w:rFonts w:ascii="Times New Roman" w:eastAsia="Times New Roman" w:hAnsi="Times New Roman" w:cs="Times New Roman"/>
          <w:color w:val="000000"/>
          <w:sz w:val="24"/>
          <w:szCs w:val="24"/>
        </w:rPr>
        <w:t xml:space="preserve"> campus. All hostels are well furnished along with common rooms for recreational activities for each hostel. The campus also has an expansive and airy common dining area. All hostels are provided with excellent drinking water facilities. Each hostel has common facilities - indoor, recreation and games. The hostel complex also includes a few shops that cater to the basic needs of the residents. IIT Ropar also provides gymnasium </w:t>
      </w:r>
      <w:r>
        <w:rPr>
          <w:rFonts w:ascii="Times New Roman" w:eastAsia="Times New Roman" w:hAnsi="Times New Roman" w:cs="Times New Roman"/>
          <w:sz w:val="24"/>
          <w:szCs w:val="24"/>
        </w:rPr>
        <w:t>facilities</w:t>
      </w:r>
      <w:r>
        <w:rPr>
          <w:rFonts w:ascii="Times New Roman" w:eastAsia="Times New Roman" w:hAnsi="Times New Roman" w:cs="Times New Roman"/>
          <w:color w:val="000000"/>
          <w:sz w:val="24"/>
          <w:szCs w:val="24"/>
        </w:rPr>
        <w:t xml:space="preserve"> within its campus for its students. Lush green IIT campus add enormous fuel in the daily life of the students. We have lively and enchanting campus life wherein the students are provided with all the amenities for the recreational activities. Here at IIT Ropar, students rejuvenate their hidden talent and relive their hobbies. State of the art </w:t>
      </w:r>
      <w:r>
        <w:rPr>
          <w:rFonts w:ascii="Times New Roman" w:eastAsia="Times New Roman" w:hAnsi="Times New Roman" w:cs="Times New Roman"/>
          <w:sz w:val="24"/>
          <w:szCs w:val="24"/>
        </w:rPr>
        <w:t>classrooms</w:t>
      </w:r>
      <w:r>
        <w:rPr>
          <w:rFonts w:ascii="Times New Roman" w:eastAsia="Times New Roman" w:hAnsi="Times New Roman" w:cs="Times New Roman"/>
          <w:color w:val="000000"/>
          <w:sz w:val="24"/>
          <w:szCs w:val="24"/>
        </w:rPr>
        <w:t xml:space="preserve"> with Audio visual aids and state of the art laboratories with latest research facilities enhance the teaching­ learning process while </w:t>
      </w:r>
      <w:r>
        <w:rPr>
          <w:rFonts w:ascii="Times New Roman" w:eastAsia="Times New Roman" w:hAnsi="Times New Roman" w:cs="Times New Roman"/>
          <w:sz w:val="24"/>
          <w:szCs w:val="24"/>
        </w:rPr>
        <w:t>high-tech</w:t>
      </w:r>
      <w:r>
        <w:rPr>
          <w:rFonts w:ascii="Times New Roman" w:eastAsia="Times New Roman" w:hAnsi="Times New Roman" w:cs="Times New Roman"/>
          <w:color w:val="000000"/>
          <w:sz w:val="24"/>
          <w:szCs w:val="24"/>
        </w:rPr>
        <w:t xml:space="preserve"> library with tremendous books, journals, periodicals etc.</w:t>
      </w:r>
      <w:r>
        <w:rPr>
          <w:rFonts w:ascii="Times New Roman" w:eastAsia="Times New Roman" w:hAnsi="Times New Roman" w:cs="Times New Roman"/>
          <w:sz w:val="24"/>
          <w:szCs w:val="24"/>
        </w:rPr>
        <w:t>help</w:t>
      </w:r>
      <w:r>
        <w:rPr>
          <w:rFonts w:ascii="Times New Roman" w:eastAsia="Times New Roman" w:hAnsi="Times New Roman" w:cs="Times New Roman"/>
          <w:color w:val="000000"/>
          <w:sz w:val="24"/>
          <w:szCs w:val="24"/>
        </w:rPr>
        <w:t xml:space="preserve"> them to connect with the entire </w:t>
      </w:r>
      <w:r>
        <w:rPr>
          <w:rFonts w:ascii="Times New Roman" w:eastAsia="Times New Roman" w:hAnsi="Times New Roman" w:cs="Times New Roman"/>
          <w:sz w:val="24"/>
          <w:szCs w:val="24"/>
        </w:rPr>
        <w:t>world</w:t>
      </w:r>
      <w:r>
        <w:rPr>
          <w:rFonts w:ascii="Times New Roman" w:eastAsia="Times New Roman" w:hAnsi="Times New Roman" w:cs="Times New Roman"/>
          <w:color w:val="000000"/>
          <w:sz w:val="24"/>
          <w:szCs w:val="24"/>
        </w:rPr>
        <w:t xml:space="preserve"> of information and knowledge. We have also introduced drastic changes to the mess menu with detailed options given to students w.r.t. the food items they would like to have in the Mess by fixing the base menu and providing extra items in the menu which they student can opt for at an extra cost. At IIT Ropar, students relish research and extracurricular activities to grow as an aspiring engineer with moral and ethical integrity.</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Health Care</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Institute Medical Centre is located in a separate building adjoining the hostel complex in Transit campus and in Main Campus. Several doctors, pharmacist, and staff nurse have been appointed to attend to campus residents in case of medical emergency. We have a state-of-the-art ambulance for medical emergencies. In addition, the Institute relies on the friendly support of a few super specialty hospitals in the city of Ropar, Mohali and Chandigarh for providing state-of-the-art medical care to its members.</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Student Activities</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has a Society for Publication and Communication Skills Development. In addition, there are Music, Dance, Dramatics, Arturo Photography, Fine Arts clubs, </w:t>
      </w:r>
      <w:r>
        <w:rPr>
          <w:rFonts w:ascii="Times New Roman" w:eastAsia="Times New Roman" w:hAnsi="Times New Roman" w:cs="Times New Roman"/>
          <w:sz w:val="24"/>
          <w:szCs w:val="24"/>
        </w:rPr>
        <w:t>Girl up Club, Electoral Club, Epicure-The Cooking Club,</w:t>
      </w:r>
      <w:r>
        <w:rPr>
          <w:rFonts w:ascii="Times New Roman" w:eastAsia="Times New Roman" w:hAnsi="Times New Roman" w:cs="Times New Roman"/>
          <w:color w:val="000000"/>
          <w:sz w:val="24"/>
          <w:szCs w:val="24"/>
        </w:rPr>
        <w:t xml:space="preserve"> Literary, Music clubs and also Science &amp; Technology, Robotic Societies, Monochrome, Computer Integrated Manufacturing, Astronomy, Quiz, Coding clubs, where the students can participate and develop a well– rounded personality. Apar</w:t>
      </w:r>
      <w:r>
        <w:rPr>
          <w:rFonts w:ascii="Times New Roman" w:eastAsia="Times New Roman" w:hAnsi="Times New Roman" w:cs="Times New Roman"/>
          <w:sz w:val="24"/>
          <w:szCs w:val="24"/>
        </w:rPr>
        <w:t>t from above all, an Outdoor Adventure and Social Activities Club and Fitness club are also there for the wellness of Students.</w:t>
      </w: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 xml:space="preserve">General Facilities </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Institute has a branch of SBI as well as a Post office to cater to the needs of the faculty members, staff and students.</w:t>
      </w: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9050DB">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lastRenderedPageBreak/>
        <w:t>Student Life at Institute</w:t>
      </w:r>
    </w:p>
    <w:p w:rsidR="00BD1F1F" w:rsidRDefault="009050DB">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At present, the transit and main campuses have excellent facilities for several sports, including a cricket field, three lawn tennis courts, a football field, a hockey field, a gymnasium, a basketball court, badminton courts, an athletics track, table tennis room and also facilities for several athletic events. The institute encourages its students to participate in inter­-IIT sport events and other competitions. Space for recreational and creative activities is also available.</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Industry and Alumni Relations:</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Industry relations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Industrial &amp; Corporate Relation Cell office works in the direction to strengthen the relations with industry and reputed international research institutes in order to develop strong research and academic collaborations. The institute is well connected to Industry and is a member of Confederation of Indian Industry (CII). Industry­ Institute Conclaves are conducted in the Institute to develop Industrial Associates of the institute. The Conclaves are focused on bringing together industry leaders and academia together on the same platform to discuss and brainstorm topics related to industrial expectations from institutions, curriculum structure and discuss issues and opportunities related to industrial projects &amp; consultancy. Experts from the industries are invited regularly to deliver lectures under Industrial Lecture Series. Centre for Innovation and Business Incubation (CIBI) of the institute is already hosting six start­ups, which is a part of Technology Business Incubator (TBI).</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Alumni relations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Institute has been actively working to sustain the bonding and to ensure greater participation of its Alumni in its academic and extra activities through various initiatives in association with the IIT Ropar Alumni Association (founded in Feb. 2013). Some of the initiatives are as follows: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Alumni Student Mentorship Program (ASMP):It’s a platform for tapping in the multitude of experience and knowledge of the Alumni for the benefit of the students and Alumni alike. As distinguished IIT Ropar graduates, Alumni hold a wealth of information and knowledge that current students can benefit from. Their expertise and advice are more valuable to students wanting to sail a similar kind of boat ranging from MBA (India, Abroad), MS, various kinds of jobs, civil services, entrepreneurship, etc.</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Hangout with Alumni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Conducting regular Alumni-Student interaction sessions including webinars, podc</w:t>
      </w:r>
      <w:r>
        <w:rPr>
          <w:rFonts w:ascii="Times New Roman" w:eastAsia="Times New Roman" w:hAnsi="Times New Roman" w:cs="Times New Roman"/>
          <w:sz w:val="24"/>
          <w:szCs w:val="24"/>
        </w:rPr>
        <w:t>asts, and in-person meets, when feasible,</w:t>
      </w:r>
      <w:r>
        <w:rPr>
          <w:rFonts w:ascii="Times New Roman" w:eastAsia="Times New Roman" w:hAnsi="Times New Roman" w:cs="Times New Roman"/>
          <w:color w:val="000000"/>
          <w:sz w:val="24"/>
          <w:szCs w:val="24"/>
        </w:rPr>
        <w:t xml:space="preserve"> to bridge the gap between them and allow the experiences, learnings, exam preparation strategies, and above all, their valuable college memories, to reach the existing students. In this, we have Alumni speak about various topics based on students’ responses and needs.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 xml:space="preserve"> Alumni Student Relationship Cell: The ASRC has been linked with the placement and internship team of IIT Ropar, for facilitating more and better opportunities to the students through alumni in the form of internships, live projects, and placements. The vast alumni network spread over hundreds of corporate giants brings home the opportunity to call them for hiring at our campus.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 xml:space="preserve"> Recreational Activities: The Alumni office and ASRC plans to regularly engage with the Alumni via recreational activities like inter-year online games and championships, organized in collaboration with various clubs of IIT Ropar. These initiatives are meant to foster healthy and vibrant relationships with these much precious jewels of the institute.</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 xml:space="preserve"> Alumni Awards: To recognize, appreciate and encourage our emerging young alumni members</w:t>
      </w:r>
      <w:r>
        <w:rPr>
          <w:rFonts w:ascii="Times New Roman" w:eastAsia="Times New Roman" w:hAnsi="Times New Roman" w:cs="Times New Roman"/>
          <w:sz w:val="24"/>
          <w:szCs w:val="24"/>
        </w:rPr>
        <w:tab/>
        <w:t>for their leadership potential and professional and/or societal impactful contributions and</w:t>
      </w:r>
      <w:r>
        <w:rPr>
          <w:rFonts w:ascii="Times New Roman" w:eastAsia="Times New Roman" w:hAnsi="Times New Roman" w:cs="Times New Roman"/>
          <w:sz w:val="24"/>
          <w:szCs w:val="24"/>
        </w:rPr>
        <w:tab/>
        <w:t>accomplishments, to enhance the awareness of their achievements and contributions, and to</w:t>
      </w:r>
      <w:r>
        <w:rPr>
          <w:rFonts w:ascii="Times New Roman" w:eastAsia="Times New Roman" w:hAnsi="Times New Roman" w:cs="Times New Roman"/>
          <w:sz w:val="24"/>
          <w:szCs w:val="24"/>
        </w:rPr>
        <w:lastRenderedPageBreak/>
        <w:tab/>
        <w:t>strengthen our bonding with emerging alumni members, Emerging Young Alumni Awards are</w:t>
      </w:r>
      <w:r>
        <w:rPr>
          <w:rFonts w:ascii="Times New Roman" w:eastAsia="Times New Roman" w:hAnsi="Times New Roman" w:cs="Times New Roman"/>
          <w:sz w:val="24"/>
          <w:szCs w:val="24"/>
        </w:rPr>
        <w:tab/>
        <w:t>instituted.</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Alumni have shown a lot of enthusiasm in participating in these initiatives and to keep working towards building a brand for our young institute ­ IIT Ropar.</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Recreational/Extra Curricular activities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take care of various students activities, we have a Student Affairs Section with the following functional units:</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Board of Hostel Affairs (BOHA)</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Board of Cultural Activities (BOCA)</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Board of Science &amp; Technology (BOST)</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Board of Sports Activities (BOSA)</w:t>
      </w:r>
    </w:p>
    <w:p w:rsidR="00BD1F1F" w:rsidRDefault="009050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Board of Literary Activities (BOLA)</w:t>
      </w:r>
    </w:p>
    <w:p w:rsidR="00BD1F1F" w:rsidRDefault="009050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Board of Academic Affairs (BOAA)</w:t>
      </w:r>
    </w:p>
    <w:p w:rsidR="00BD1F1F" w:rsidRDefault="009050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Outdoor Adventure and Social Activities Club</w:t>
      </w:r>
    </w:p>
    <w:p w:rsidR="00BD1F1F" w:rsidRDefault="00BD1F1F">
      <w:pPr>
        <w:spacing w:after="0" w:line="240" w:lineRule="auto"/>
        <w:jc w:val="both"/>
        <w:rPr>
          <w:rFonts w:ascii="Times New Roman" w:eastAsia="Times New Roman" w:hAnsi="Times New Roman" w:cs="Times New Roman"/>
          <w:sz w:val="24"/>
          <w:szCs w:val="24"/>
        </w:rPr>
      </w:pP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the aegis of BOCA Movie Club, IIT Ropar hosts movies every week for the entertainment of the campus community. BOCA also celebrates the annual poetic festival Rashmi at IIT Ropar with the aim to let the budding poets and connoisseurs of poetry come on stage and showcase their talent. BOCA also conducted the SPIC MACAY events under its aegis. Many other cultural activities are organized/participated by the students within the campus and in other Institutions situated all over India.</w:t>
      </w:r>
    </w:p>
    <w:p w:rsidR="00BD1F1F" w:rsidRDefault="009050DB">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BOARD OF SCIENCE AND TECHNOLOGY</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Science and Technology Clubs are set up to kindle and nurture the love for technology, each club with its own specialization and guest lectures by prominent personalities in the world of technology and science.</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spends his/her time constructively by engaging in the activities of these clubs. The students can thus represent IIT Ropar at various national and international competitions and events, bringing laurels to the institute and </w:t>
      </w:r>
      <w:r>
        <w:rPr>
          <w:rFonts w:ascii="Times New Roman" w:eastAsia="Times New Roman" w:hAnsi="Times New Roman" w:cs="Times New Roman"/>
          <w:sz w:val="24"/>
          <w:szCs w:val="24"/>
        </w:rPr>
        <w:t>allowing</w:t>
      </w:r>
      <w:r>
        <w:rPr>
          <w:rFonts w:ascii="Times New Roman" w:eastAsia="Times New Roman" w:hAnsi="Times New Roman" w:cs="Times New Roman"/>
          <w:color w:val="000000"/>
          <w:sz w:val="24"/>
          <w:szCs w:val="24"/>
        </w:rPr>
        <w:t xml:space="preserve"> students to showcase their creativity without bounds, through any of these clubs. Over the semester, fortnightly meetings of the clubs </w:t>
      </w:r>
      <w:r>
        <w:rPr>
          <w:rFonts w:ascii="Times New Roman" w:eastAsia="Times New Roman" w:hAnsi="Times New Roman" w:cs="Times New Roman"/>
          <w:sz w:val="24"/>
          <w:szCs w:val="24"/>
        </w:rPr>
        <w:t xml:space="preserve">are </w:t>
      </w:r>
      <w:r>
        <w:rPr>
          <w:rFonts w:ascii="Times New Roman" w:eastAsia="Times New Roman" w:hAnsi="Times New Roman" w:cs="Times New Roman"/>
          <w:color w:val="000000"/>
          <w:sz w:val="24"/>
          <w:szCs w:val="24"/>
        </w:rPr>
        <w:t>held, apart from the time invested by members in their club projects. The institute has also started Innovation Club under the ages of BOST wherein the students are encouraged to participate and evolve innovative ideas for implementation.</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Board of Sports Activities (BOSA)</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have a Board of Sports Activities (BOSA) which encourages the students  to participate in local / Inter- / Intra-college / Hostel Sports Activities to boost their performance in inter IIT Sports meet under the guidance of  professional coaches.</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 sports facilities including gymnasium are being upgraded to enhance the quality of facilities at the Institute. There are international level modern sports fields / grounds with floodlights facilities. Since 2016, BOSA, IIT Ropar is organizing an Annual Sports Festival “AAROHAN” in which students of various Colleges, Institutes and Universities participate in more than 13 sports events.</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Location and Accessibility</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Institute is located at Ropar, the headquarters of Rupnagar district, Punjab. This institute, with its establishment, joins a string of premier educational institutions in Punjab. The town of Ropar, the district headquarters, is 42 kms from Chandigarh, the capital of Punjab. Rupnagar is well connected by both road </w:t>
      </w:r>
      <w:r>
        <w:rPr>
          <w:rFonts w:ascii="Times New Roman" w:eastAsia="Times New Roman" w:hAnsi="Times New Roman" w:cs="Times New Roman"/>
          <w:color w:val="000000"/>
          <w:sz w:val="24"/>
          <w:szCs w:val="24"/>
        </w:rPr>
        <w:lastRenderedPageBreak/>
        <w:t>(National highway NH­21 / NH205) and railways (the Delhi­-Ambala-­Una railway line passes through Rupnagar).</w:t>
      </w:r>
    </w:p>
    <w:p w:rsidR="00BD1F1F" w:rsidRDefault="00BD1F1F">
      <w:pPr>
        <w:spacing w:line="240" w:lineRule="auto"/>
        <w:jc w:val="both"/>
        <w:rPr>
          <w:rFonts w:ascii="Times New Roman" w:eastAsia="Times New Roman" w:hAnsi="Times New Roman" w:cs="Times New Roman"/>
          <w:b/>
          <w:color w:val="000000"/>
          <w:sz w:val="28"/>
          <w:szCs w:val="28"/>
        </w:rPr>
      </w:pP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By Air:</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nearest international Airport is in Chandigarh, about 50kms from Rupnagar. Any visitor wishing to come to Rupnagar/Ropar could take a flight from his/her respective place to Chandigarh, if available, or a flight from Delhi to Chandigarh and then take a taxi from the airport to reach the campus of Indian Institute of Technology Ropar (IIT Ropar) which is approximately one-and-a-half-hour journey.</w:t>
      </w:r>
    </w:p>
    <w:p w:rsidR="00BD1F1F" w:rsidRDefault="009050DB">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By Train:</w:t>
      </w:r>
    </w:p>
    <w:p w:rsidR="00BD1F1F" w:rsidRDefault="009050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regular trains running between Delhi and Rupnagar. The Delhi-­Ambala­-Una railway line passes through Rupnagar. The duration of the journey is around six hours from Delhi. </w:t>
      </w:r>
    </w:p>
    <w:p w:rsidR="00BD1F1F" w:rsidRDefault="00BD1F1F">
      <w:pPr>
        <w:widowControl w:val="0"/>
        <w:pBdr>
          <w:top w:val="nil"/>
          <w:left w:val="nil"/>
          <w:bottom w:val="nil"/>
          <w:right w:val="nil"/>
          <w:between w:val="nil"/>
        </w:pBdr>
        <w:tabs>
          <w:tab w:val="left" w:pos="284"/>
        </w:tabs>
        <w:spacing w:before="106" w:after="0" w:line="240" w:lineRule="auto"/>
        <w:jc w:val="both"/>
        <w:rPr>
          <w:rFonts w:ascii="Times New Roman" w:eastAsia="Times New Roman" w:hAnsi="Times New Roman" w:cs="Times New Roman"/>
          <w:color w:val="000000"/>
          <w:sz w:val="24"/>
          <w:szCs w:val="24"/>
        </w:rPr>
      </w:pPr>
    </w:p>
    <w:p w:rsidR="00BD1F1F" w:rsidRDefault="00BD1F1F">
      <w:pPr>
        <w:jc w:val="both"/>
        <w:rPr>
          <w:rFonts w:ascii="Times New Roman" w:eastAsia="Times New Roman" w:hAnsi="Times New Roman" w:cs="Times New Roman"/>
          <w:sz w:val="28"/>
          <w:szCs w:val="28"/>
        </w:rPr>
      </w:pPr>
    </w:p>
    <w:p w:rsidR="00BD1F1F" w:rsidRDefault="009050DB">
      <w:pPr>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Contact us:</w:t>
      </w:r>
    </w:p>
    <w:p w:rsidR="00BD1F1F" w:rsidRPr="00CB3CB7" w:rsidRDefault="009050DB">
      <w:pPr>
        <w:spacing w:line="240" w:lineRule="auto"/>
        <w:jc w:val="both"/>
        <w:rPr>
          <w:rStyle w:val="Hyperlink"/>
          <w:rFonts w:ascii="Arial" w:hAnsi="Arial" w:cs="Arial"/>
          <w:color w:val="1155CC"/>
          <w:shd w:val="clear" w:color="auto" w:fill="FFFFFF"/>
        </w:rPr>
      </w:pPr>
      <w:r>
        <w:rPr>
          <w:rFonts w:ascii="Times New Roman" w:eastAsia="Times New Roman" w:hAnsi="Times New Roman" w:cs="Times New Roman"/>
          <w:color w:val="000000"/>
          <w:sz w:val="24"/>
          <w:szCs w:val="24"/>
          <w:highlight w:val="white"/>
        </w:rPr>
        <w:t>Email:</w:t>
      </w:r>
      <w:r w:rsidR="00237E77">
        <w:rPr>
          <w:rFonts w:ascii="Times New Roman" w:eastAsia="Times New Roman" w:hAnsi="Times New Roman" w:cs="Times New Roman"/>
          <w:color w:val="000000"/>
          <w:sz w:val="24"/>
          <w:szCs w:val="24"/>
          <w:highlight w:val="white"/>
        </w:rPr>
        <w:t xml:space="preserve"> </w:t>
      </w:r>
      <w:hyperlink r:id="rId12" w:history="1">
        <w:r w:rsidR="00460358" w:rsidRPr="002E3856">
          <w:rPr>
            <w:rStyle w:val="Hyperlink"/>
            <w:rFonts w:ascii="Times New Roman" w:eastAsia="Times New Roman" w:hAnsi="Times New Roman" w:cs="Times New Roman"/>
            <w:sz w:val="24"/>
            <w:szCs w:val="24"/>
          </w:rPr>
          <w:t>phdadmissions@iitrpr.ac.in</w:t>
        </w:r>
      </w:hyperlink>
      <w:r w:rsidR="00460358">
        <w:rPr>
          <w:rFonts w:ascii="Times New Roman" w:eastAsia="Times New Roman" w:hAnsi="Times New Roman" w:cs="Times New Roman"/>
          <w:color w:val="000000"/>
          <w:sz w:val="24"/>
          <w:szCs w:val="24"/>
        </w:rPr>
        <w:t xml:space="preserve"> </w:t>
      </w:r>
    </w:p>
    <w:p w:rsidR="00BD1F1F" w:rsidRDefault="009050DB">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Phone No.: 01881-231167, 231168, 231115</w:t>
      </w:r>
      <w:r w:rsidR="00286A3D">
        <w:rPr>
          <w:rFonts w:ascii="Times New Roman" w:eastAsia="Times New Roman" w:hAnsi="Times New Roman" w:cs="Times New Roman"/>
          <w:color w:val="000000"/>
          <w:sz w:val="24"/>
          <w:szCs w:val="24"/>
          <w:highlight w:val="white"/>
        </w:rPr>
        <w:t>, 231111</w:t>
      </w:r>
      <w:r>
        <w:rPr>
          <w:rFonts w:ascii="Times New Roman" w:eastAsia="Times New Roman" w:hAnsi="Times New Roman" w:cs="Times New Roman"/>
          <w:color w:val="000000"/>
          <w:sz w:val="24"/>
          <w:szCs w:val="24"/>
          <w:highlight w:val="white"/>
        </w:rPr>
        <w:t xml:space="preserve"> (from 9 am to 5</w:t>
      </w:r>
      <w:r w:rsidR="00237E77">
        <w:rPr>
          <w:rFonts w:ascii="Times New Roman" w:eastAsia="Times New Roman" w:hAnsi="Times New Roman" w:cs="Times New Roman"/>
          <w:color w:val="000000"/>
          <w:sz w:val="24"/>
          <w:szCs w:val="24"/>
          <w:highlight w:val="white"/>
        </w:rPr>
        <w:t>:30</w:t>
      </w:r>
      <w:r>
        <w:rPr>
          <w:rFonts w:ascii="Times New Roman" w:eastAsia="Times New Roman" w:hAnsi="Times New Roman" w:cs="Times New Roman"/>
          <w:color w:val="000000"/>
          <w:sz w:val="24"/>
          <w:szCs w:val="24"/>
          <w:highlight w:val="white"/>
        </w:rPr>
        <w:t xml:space="preserve"> pm)</w:t>
      </w:r>
      <w:r w:rsidR="008C14E4">
        <w:rPr>
          <w:rFonts w:ascii="Times New Roman" w:eastAsia="Times New Roman" w:hAnsi="Times New Roman" w:cs="Times New Roman"/>
          <w:color w:val="000000"/>
          <w:sz w:val="24"/>
          <w:szCs w:val="24"/>
          <w:highlight w:val="white"/>
        </w:rPr>
        <w:t xml:space="preserve"> on working days (Monday to Friday)</w:t>
      </w:r>
    </w:p>
    <w:p w:rsidR="00BD1F1F" w:rsidRDefault="009050DB">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Website: </w:t>
      </w:r>
      <w:hyperlink r:id="rId13">
        <w:r>
          <w:rPr>
            <w:rFonts w:ascii="Times New Roman" w:eastAsia="Times New Roman" w:hAnsi="Times New Roman" w:cs="Times New Roman"/>
            <w:color w:val="0000FF"/>
            <w:sz w:val="24"/>
            <w:szCs w:val="24"/>
            <w:highlight w:val="white"/>
            <w:u w:val="single"/>
          </w:rPr>
          <w:t>www.iitrpr.ac.in</w:t>
        </w:r>
      </w:hyperlink>
      <w:r>
        <w:rPr>
          <w:rFonts w:ascii="Times New Roman" w:eastAsia="Times New Roman" w:hAnsi="Times New Roman" w:cs="Times New Roman"/>
          <w:color w:val="000000"/>
          <w:sz w:val="24"/>
          <w:szCs w:val="24"/>
          <w:highlight w:val="white"/>
        </w:rPr>
        <w:t xml:space="preserve"> </w:t>
      </w:r>
    </w:p>
    <w:p w:rsidR="00BD1F1F" w:rsidRDefault="00BD1F1F">
      <w:pPr>
        <w:spacing w:line="240" w:lineRule="auto"/>
        <w:jc w:val="both"/>
        <w:rPr>
          <w:rFonts w:ascii="Times New Roman" w:eastAsia="Times New Roman" w:hAnsi="Times New Roman" w:cs="Times New Roman"/>
          <w:color w:val="000000"/>
          <w:sz w:val="24"/>
          <w:szCs w:val="24"/>
          <w:highlight w:val="white"/>
        </w:rPr>
      </w:pPr>
    </w:p>
    <w:sectPr w:rsidR="00BD1F1F" w:rsidSect="00BD1F1F">
      <w:footerReference w:type="default" r:id="rId14"/>
      <w:pgSz w:w="11906" w:h="16838"/>
      <w:pgMar w:top="1134" w:right="849" w:bottom="1440" w:left="709"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C56" w:rsidRDefault="009A1C56" w:rsidP="00BD1F1F">
      <w:pPr>
        <w:spacing w:after="0" w:line="240" w:lineRule="auto"/>
      </w:pPr>
      <w:r>
        <w:separator/>
      </w:r>
    </w:p>
  </w:endnote>
  <w:endnote w:type="continuationSeparator" w:id="1">
    <w:p w:rsidR="009A1C56" w:rsidRDefault="009A1C56" w:rsidP="00BD1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sig w:usb0="00000000" w:usb1="00000000" w:usb2="00000000" w:usb3="00000000" w:csb0="00000000" w:csb1="00000000"/>
  </w:font>
  <w:font w:name="Arial MT">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1F" w:rsidRDefault="00B725DA">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9050DB">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50E76">
      <w:rPr>
        <w:rFonts w:ascii="Times New Roman" w:eastAsia="Times New Roman" w:hAnsi="Times New Roman" w:cs="Times New Roman"/>
        <w:noProof/>
        <w:color w:val="000000"/>
        <w:sz w:val="20"/>
        <w:szCs w:val="20"/>
      </w:rPr>
      <w:t>13</w:t>
    </w:r>
    <w:r>
      <w:rPr>
        <w:rFonts w:ascii="Times New Roman" w:eastAsia="Times New Roman" w:hAnsi="Times New Roman" w:cs="Times New Roman"/>
        <w:color w:val="000000"/>
        <w:sz w:val="20"/>
        <w:szCs w:val="20"/>
      </w:rPr>
      <w:fldChar w:fldCharType="end"/>
    </w:r>
  </w:p>
  <w:p w:rsidR="00BD1F1F" w:rsidRDefault="00BD1F1F">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C56" w:rsidRDefault="009A1C56" w:rsidP="00BD1F1F">
      <w:pPr>
        <w:spacing w:after="0" w:line="240" w:lineRule="auto"/>
      </w:pPr>
      <w:r>
        <w:separator/>
      </w:r>
    </w:p>
  </w:footnote>
  <w:footnote w:type="continuationSeparator" w:id="1">
    <w:p w:rsidR="009A1C56" w:rsidRDefault="009A1C56" w:rsidP="00BD1F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9A4"/>
    <w:multiLevelType w:val="hybridMultilevel"/>
    <w:tmpl w:val="ABF8D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0211B"/>
    <w:multiLevelType w:val="multilevel"/>
    <w:tmpl w:val="A49E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E758B"/>
    <w:multiLevelType w:val="multilevel"/>
    <w:tmpl w:val="454E2B82"/>
    <w:lvl w:ilvl="0">
      <w:start w:val="1"/>
      <w:numFmt w:val="decimal"/>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3">
    <w:nsid w:val="0AC44278"/>
    <w:multiLevelType w:val="multilevel"/>
    <w:tmpl w:val="6750E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C3361C3"/>
    <w:multiLevelType w:val="multilevel"/>
    <w:tmpl w:val="7BE0D4FA"/>
    <w:lvl w:ilvl="0">
      <w:start w:val="1"/>
      <w:numFmt w:val="upperRoman"/>
      <w:lvlText w:val="%1."/>
      <w:lvlJc w:val="righ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5">
    <w:nsid w:val="2FB0369B"/>
    <w:multiLevelType w:val="multilevel"/>
    <w:tmpl w:val="2F869D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CA741C"/>
    <w:multiLevelType w:val="multilevel"/>
    <w:tmpl w:val="4FAC12C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BE97978"/>
    <w:multiLevelType w:val="hybridMultilevel"/>
    <w:tmpl w:val="7452ECA2"/>
    <w:lvl w:ilvl="0" w:tplc="B1BC1B10">
      <w:start w:val="1"/>
      <w:numFmt w:val="lowerRoman"/>
      <w:lvlText w:val="%1)"/>
      <w:lvlJc w:val="left"/>
      <w:pPr>
        <w:ind w:left="2442" w:hanging="720"/>
      </w:pPr>
      <w:rPr>
        <w:rFonts w:ascii="Trebuchet MS" w:eastAsia="Trebuchet MS" w:hAnsi="Trebuchet MS" w:cs="Trebuchet MS" w:hint="default"/>
        <w:spacing w:val="-1"/>
        <w:w w:val="97"/>
        <w:sz w:val="24"/>
        <w:szCs w:val="24"/>
        <w:lang w:val="en-US" w:eastAsia="en-US" w:bidi="ar-SA"/>
      </w:rPr>
    </w:lvl>
    <w:lvl w:ilvl="1" w:tplc="7896B136">
      <w:numFmt w:val="bullet"/>
      <w:lvlText w:val="•"/>
      <w:lvlJc w:val="left"/>
      <w:pPr>
        <w:ind w:left="1637" w:hanging="360"/>
      </w:pPr>
      <w:rPr>
        <w:rFonts w:ascii="Lucida Sans Unicode" w:eastAsia="Lucida Sans Unicode" w:hAnsi="Lucida Sans Unicode" w:cs="Lucida Sans Unicode" w:hint="default"/>
        <w:w w:val="65"/>
        <w:sz w:val="24"/>
        <w:szCs w:val="24"/>
        <w:lang w:val="en-US" w:eastAsia="en-US" w:bidi="ar-SA"/>
      </w:rPr>
    </w:lvl>
    <w:lvl w:ilvl="2" w:tplc="058E5AAC">
      <w:numFmt w:val="bullet"/>
      <w:lvlText w:val="•"/>
      <w:lvlJc w:val="left"/>
      <w:pPr>
        <w:ind w:left="3336" w:hanging="360"/>
      </w:pPr>
      <w:rPr>
        <w:rFonts w:hint="default"/>
        <w:lang w:val="en-US" w:eastAsia="en-US" w:bidi="ar-SA"/>
      </w:rPr>
    </w:lvl>
    <w:lvl w:ilvl="3" w:tplc="E6C23084">
      <w:numFmt w:val="bullet"/>
      <w:lvlText w:val="•"/>
      <w:lvlJc w:val="left"/>
      <w:pPr>
        <w:ind w:left="4232" w:hanging="360"/>
      </w:pPr>
      <w:rPr>
        <w:rFonts w:hint="default"/>
        <w:lang w:val="en-US" w:eastAsia="en-US" w:bidi="ar-SA"/>
      </w:rPr>
    </w:lvl>
    <w:lvl w:ilvl="4" w:tplc="B2F4D2EC">
      <w:numFmt w:val="bullet"/>
      <w:lvlText w:val="•"/>
      <w:lvlJc w:val="left"/>
      <w:pPr>
        <w:ind w:left="5128" w:hanging="360"/>
      </w:pPr>
      <w:rPr>
        <w:rFonts w:hint="default"/>
        <w:lang w:val="en-US" w:eastAsia="en-US" w:bidi="ar-SA"/>
      </w:rPr>
    </w:lvl>
    <w:lvl w:ilvl="5" w:tplc="1F2AD28E">
      <w:numFmt w:val="bullet"/>
      <w:lvlText w:val="•"/>
      <w:lvlJc w:val="left"/>
      <w:pPr>
        <w:ind w:left="6024" w:hanging="360"/>
      </w:pPr>
      <w:rPr>
        <w:rFonts w:hint="default"/>
        <w:lang w:val="en-US" w:eastAsia="en-US" w:bidi="ar-SA"/>
      </w:rPr>
    </w:lvl>
    <w:lvl w:ilvl="6" w:tplc="292A991C">
      <w:numFmt w:val="bullet"/>
      <w:lvlText w:val="•"/>
      <w:lvlJc w:val="left"/>
      <w:pPr>
        <w:ind w:left="6920" w:hanging="360"/>
      </w:pPr>
      <w:rPr>
        <w:rFonts w:hint="default"/>
        <w:lang w:val="en-US" w:eastAsia="en-US" w:bidi="ar-SA"/>
      </w:rPr>
    </w:lvl>
    <w:lvl w:ilvl="7" w:tplc="35182FC6">
      <w:numFmt w:val="bullet"/>
      <w:lvlText w:val="•"/>
      <w:lvlJc w:val="left"/>
      <w:pPr>
        <w:ind w:left="7817" w:hanging="360"/>
      </w:pPr>
      <w:rPr>
        <w:rFonts w:hint="default"/>
        <w:lang w:val="en-US" w:eastAsia="en-US" w:bidi="ar-SA"/>
      </w:rPr>
    </w:lvl>
    <w:lvl w:ilvl="8" w:tplc="3AA65680">
      <w:numFmt w:val="bullet"/>
      <w:lvlText w:val="•"/>
      <w:lvlJc w:val="left"/>
      <w:pPr>
        <w:ind w:left="8713" w:hanging="360"/>
      </w:pPr>
      <w:rPr>
        <w:rFonts w:hint="default"/>
        <w:lang w:val="en-US" w:eastAsia="en-US" w:bidi="ar-SA"/>
      </w:rPr>
    </w:lvl>
  </w:abstractNum>
  <w:abstractNum w:abstractNumId="8">
    <w:nsid w:val="4D8B1583"/>
    <w:multiLevelType w:val="multilevel"/>
    <w:tmpl w:val="14B493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BA6B8F"/>
    <w:multiLevelType w:val="multilevel"/>
    <w:tmpl w:val="45AE803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3E41DB8"/>
    <w:multiLevelType w:val="multilevel"/>
    <w:tmpl w:val="CAE667CA"/>
    <w:lvl w:ilvl="0">
      <w:start w:val="1"/>
      <w:numFmt w:val="lowerRoman"/>
      <w:lvlText w:val="%1)"/>
      <w:lvlJc w:val="left"/>
      <w:pPr>
        <w:ind w:left="720" w:hanging="360"/>
      </w:pPr>
      <w:rPr>
        <w:rFonts w:ascii="Arimo" w:eastAsia="Arimo" w:hAnsi="Arimo" w:cs="Arim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B15A1A"/>
    <w:multiLevelType w:val="multilevel"/>
    <w:tmpl w:val="B900D48E"/>
    <w:lvl w:ilvl="0">
      <w:start w:val="1"/>
      <w:numFmt w:val="lowerRoman"/>
      <w:lvlText w:val="%1)"/>
      <w:lvlJc w:val="left"/>
      <w:pPr>
        <w:ind w:left="1170" w:hanging="371"/>
      </w:pPr>
      <w:rPr>
        <w:rFonts w:ascii="Times New Roman" w:eastAsia="Times New Roman" w:hAnsi="Times New Roman" w:cs="Times New Roman"/>
        <w:b/>
        <w:sz w:val="22"/>
        <w:szCs w:val="22"/>
      </w:rPr>
    </w:lvl>
    <w:lvl w:ilvl="1">
      <w:start w:val="1"/>
      <w:numFmt w:val="lowerLetter"/>
      <w:lvlText w:val="%2)"/>
      <w:lvlJc w:val="left"/>
      <w:pPr>
        <w:ind w:left="1530" w:hanging="371"/>
      </w:pPr>
      <w:rPr>
        <w:rFonts w:ascii="Arial MT" w:eastAsia="Arial MT" w:hAnsi="Arial MT" w:cs="Arial MT"/>
        <w:sz w:val="22"/>
        <w:szCs w:val="22"/>
      </w:rPr>
    </w:lvl>
    <w:lvl w:ilvl="2">
      <w:numFmt w:val="bullet"/>
      <w:lvlText w:val="•"/>
      <w:lvlJc w:val="left"/>
      <w:pPr>
        <w:ind w:left="2346" w:hanging="371"/>
      </w:pPr>
    </w:lvl>
    <w:lvl w:ilvl="3">
      <w:numFmt w:val="bullet"/>
      <w:lvlText w:val="•"/>
      <w:lvlJc w:val="left"/>
      <w:pPr>
        <w:ind w:left="3153" w:hanging="371"/>
      </w:pPr>
    </w:lvl>
    <w:lvl w:ilvl="4">
      <w:numFmt w:val="bullet"/>
      <w:lvlText w:val="•"/>
      <w:lvlJc w:val="left"/>
      <w:pPr>
        <w:ind w:left="3960" w:hanging="371"/>
      </w:pPr>
    </w:lvl>
    <w:lvl w:ilvl="5">
      <w:numFmt w:val="bullet"/>
      <w:lvlText w:val="•"/>
      <w:lvlJc w:val="left"/>
      <w:pPr>
        <w:ind w:left="4766" w:hanging="371"/>
      </w:pPr>
    </w:lvl>
    <w:lvl w:ilvl="6">
      <w:numFmt w:val="bullet"/>
      <w:lvlText w:val="•"/>
      <w:lvlJc w:val="left"/>
      <w:pPr>
        <w:ind w:left="5573" w:hanging="371"/>
      </w:pPr>
    </w:lvl>
    <w:lvl w:ilvl="7">
      <w:numFmt w:val="bullet"/>
      <w:lvlText w:val="•"/>
      <w:lvlJc w:val="left"/>
      <w:pPr>
        <w:ind w:left="6380" w:hanging="371"/>
      </w:pPr>
    </w:lvl>
    <w:lvl w:ilvl="8">
      <w:numFmt w:val="bullet"/>
      <w:lvlText w:val="•"/>
      <w:lvlJc w:val="left"/>
      <w:pPr>
        <w:ind w:left="7186" w:hanging="371"/>
      </w:pPr>
    </w:lvl>
  </w:abstractNum>
  <w:abstractNum w:abstractNumId="12">
    <w:nsid w:val="68460C5D"/>
    <w:multiLevelType w:val="multilevel"/>
    <w:tmpl w:val="4EF22B7E"/>
    <w:lvl w:ilvl="0">
      <w:start w:val="1"/>
      <w:numFmt w:val="decimal"/>
      <w:lvlText w:val="%1."/>
      <w:lvlJc w:val="left"/>
      <w:pPr>
        <w:ind w:left="720" w:hanging="360"/>
      </w:pPr>
      <w:rPr>
        <w:rFonts w:ascii="Georgia" w:eastAsia="Georgia" w:hAnsi="Georgia" w:cs="Georgia"/>
        <w:color w:val="3B3B3B"/>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63F30FE"/>
    <w:multiLevelType w:val="multilevel"/>
    <w:tmpl w:val="8FA639C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13"/>
  </w:num>
  <w:num w:numId="3">
    <w:abstractNumId w:val="3"/>
  </w:num>
  <w:num w:numId="4">
    <w:abstractNumId w:val="5"/>
  </w:num>
  <w:num w:numId="5">
    <w:abstractNumId w:val="4"/>
  </w:num>
  <w:num w:numId="6">
    <w:abstractNumId w:val="1"/>
  </w:num>
  <w:num w:numId="7">
    <w:abstractNumId w:val="6"/>
  </w:num>
  <w:num w:numId="8">
    <w:abstractNumId w:val="10"/>
  </w:num>
  <w:num w:numId="9">
    <w:abstractNumId w:val="2"/>
  </w:num>
  <w:num w:numId="10">
    <w:abstractNumId w:val="8"/>
  </w:num>
  <w:num w:numId="11">
    <w:abstractNumId w:val="9"/>
  </w:num>
  <w:num w:numId="12">
    <w:abstractNumId w:val="1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footnotePr>
    <w:footnote w:id="0"/>
    <w:footnote w:id="1"/>
  </w:footnotePr>
  <w:endnotePr>
    <w:endnote w:id="0"/>
    <w:endnote w:id="1"/>
  </w:endnotePr>
  <w:compat/>
  <w:rsids>
    <w:rsidRoot w:val="00BD1F1F"/>
    <w:rsid w:val="00031685"/>
    <w:rsid w:val="00044816"/>
    <w:rsid w:val="0007498A"/>
    <w:rsid w:val="000F5C9F"/>
    <w:rsid w:val="00107701"/>
    <w:rsid w:val="00142865"/>
    <w:rsid w:val="00190A8E"/>
    <w:rsid w:val="001A6B05"/>
    <w:rsid w:val="001E5DAC"/>
    <w:rsid w:val="00237D5F"/>
    <w:rsid w:val="00237E77"/>
    <w:rsid w:val="00286A3D"/>
    <w:rsid w:val="002871A8"/>
    <w:rsid w:val="002A65C2"/>
    <w:rsid w:val="00345AC6"/>
    <w:rsid w:val="00375E7B"/>
    <w:rsid w:val="00383F55"/>
    <w:rsid w:val="00416A4E"/>
    <w:rsid w:val="00460358"/>
    <w:rsid w:val="004F5272"/>
    <w:rsid w:val="005A40D3"/>
    <w:rsid w:val="005D6913"/>
    <w:rsid w:val="005E5C0A"/>
    <w:rsid w:val="00614610"/>
    <w:rsid w:val="006C31A7"/>
    <w:rsid w:val="00703BD4"/>
    <w:rsid w:val="00727369"/>
    <w:rsid w:val="00836E0E"/>
    <w:rsid w:val="0083788D"/>
    <w:rsid w:val="00875C6B"/>
    <w:rsid w:val="00895C2E"/>
    <w:rsid w:val="008A6D4A"/>
    <w:rsid w:val="008C14E4"/>
    <w:rsid w:val="008C6DCD"/>
    <w:rsid w:val="009050DB"/>
    <w:rsid w:val="00960927"/>
    <w:rsid w:val="009A0E54"/>
    <w:rsid w:val="009A1C56"/>
    <w:rsid w:val="009A3DE1"/>
    <w:rsid w:val="00A03140"/>
    <w:rsid w:val="00A6208C"/>
    <w:rsid w:val="00AC4967"/>
    <w:rsid w:val="00B23A06"/>
    <w:rsid w:val="00B64BF6"/>
    <w:rsid w:val="00B725DA"/>
    <w:rsid w:val="00B77A17"/>
    <w:rsid w:val="00BB192A"/>
    <w:rsid w:val="00BD1F1F"/>
    <w:rsid w:val="00BF08A5"/>
    <w:rsid w:val="00C0465F"/>
    <w:rsid w:val="00C622F6"/>
    <w:rsid w:val="00C9669A"/>
    <w:rsid w:val="00CA0F1A"/>
    <w:rsid w:val="00CB3CB7"/>
    <w:rsid w:val="00DE408A"/>
    <w:rsid w:val="00E125ED"/>
    <w:rsid w:val="00E22A7D"/>
    <w:rsid w:val="00E62DB6"/>
    <w:rsid w:val="00E86428"/>
    <w:rsid w:val="00EE25A2"/>
    <w:rsid w:val="00EF27D0"/>
    <w:rsid w:val="00F13A26"/>
    <w:rsid w:val="00F46FF3"/>
    <w:rsid w:val="00F50E76"/>
    <w:rsid w:val="00FA7EDC"/>
    <w:rsid w:val="00FD164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7C"/>
  </w:style>
  <w:style w:type="paragraph" w:styleId="Heading1">
    <w:name w:val="heading 1"/>
    <w:basedOn w:val="Normal"/>
    <w:link w:val="Heading1Char"/>
    <w:uiPriority w:val="1"/>
    <w:qFormat/>
    <w:rsid w:val="008B26D4"/>
    <w:pPr>
      <w:widowControl w:val="0"/>
      <w:autoSpaceDE w:val="0"/>
      <w:autoSpaceDN w:val="0"/>
      <w:spacing w:after="0" w:line="240" w:lineRule="auto"/>
      <w:ind w:left="1007"/>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semiHidden/>
    <w:unhideWhenUsed/>
    <w:qFormat/>
    <w:rsid w:val="00FF1C4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C466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1C49"/>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0"/>
    <w:next w:val="normal0"/>
    <w:rsid w:val="00CC2A60"/>
    <w:pPr>
      <w:keepNext/>
      <w:keepLines/>
      <w:spacing w:before="220" w:after="40"/>
      <w:outlineLvl w:val="4"/>
    </w:pPr>
    <w:rPr>
      <w:b/>
    </w:rPr>
  </w:style>
  <w:style w:type="paragraph" w:styleId="Heading6">
    <w:name w:val="heading 6"/>
    <w:basedOn w:val="normal0"/>
    <w:next w:val="normal0"/>
    <w:rsid w:val="00CC2A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BD1F1F"/>
  </w:style>
  <w:style w:type="paragraph" w:styleId="Title">
    <w:name w:val="Title"/>
    <w:basedOn w:val="Normal"/>
    <w:link w:val="TitleChar"/>
    <w:uiPriority w:val="10"/>
    <w:qFormat/>
    <w:rsid w:val="008B26D4"/>
    <w:pPr>
      <w:widowControl w:val="0"/>
      <w:autoSpaceDE w:val="0"/>
      <w:autoSpaceDN w:val="0"/>
      <w:spacing w:before="76" w:after="0" w:line="240" w:lineRule="auto"/>
      <w:ind w:left="2392" w:right="2505"/>
      <w:jc w:val="center"/>
    </w:pPr>
    <w:rPr>
      <w:rFonts w:ascii="Times New Roman" w:eastAsia="Times New Roman" w:hAnsi="Times New Roman" w:cs="Times New Roman"/>
      <w:sz w:val="60"/>
      <w:szCs w:val="60"/>
      <w:lang w:val="en-US"/>
    </w:rPr>
  </w:style>
  <w:style w:type="paragraph" w:customStyle="1" w:styleId="normal0">
    <w:name w:val="normal"/>
    <w:rsid w:val="00CC2A60"/>
  </w:style>
  <w:style w:type="character" w:customStyle="1" w:styleId="Heading1Char">
    <w:name w:val="Heading 1 Char"/>
    <w:basedOn w:val="DefaultParagraphFont"/>
    <w:link w:val="Heading1"/>
    <w:uiPriority w:val="1"/>
    <w:rsid w:val="008B26D4"/>
    <w:rPr>
      <w:rFonts w:ascii="Times New Roman" w:eastAsia="Times New Roman" w:hAnsi="Times New Roman" w:cs="Times New Roman"/>
      <w:b/>
      <w:bCs/>
      <w:szCs w:val="22"/>
      <w:lang w:val="en-US" w:bidi="ar-SA"/>
    </w:rPr>
  </w:style>
  <w:style w:type="paragraph" w:styleId="BodyText">
    <w:name w:val="Body Text"/>
    <w:basedOn w:val="Normal"/>
    <w:link w:val="BodyTextChar"/>
    <w:uiPriority w:val="1"/>
    <w:qFormat/>
    <w:rsid w:val="008B26D4"/>
    <w:pPr>
      <w:widowControl w:val="0"/>
      <w:autoSpaceDE w:val="0"/>
      <w:autoSpaceDN w:val="0"/>
      <w:spacing w:after="0" w:line="240" w:lineRule="auto"/>
      <w:ind w:left="383"/>
    </w:pPr>
    <w:rPr>
      <w:rFonts w:ascii="Times New Roman" w:eastAsia="Times New Roman" w:hAnsi="Times New Roman" w:cs="Times New Roman"/>
      <w:sz w:val="20"/>
      <w:lang w:val="en-US"/>
    </w:rPr>
  </w:style>
  <w:style w:type="character" w:customStyle="1" w:styleId="BodyTextChar">
    <w:name w:val="Body Text Char"/>
    <w:basedOn w:val="DefaultParagraphFont"/>
    <w:link w:val="BodyText"/>
    <w:uiPriority w:val="1"/>
    <w:rsid w:val="008B26D4"/>
    <w:rPr>
      <w:rFonts w:ascii="Times New Roman" w:eastAsia="Times New Roman" w:hAnsi="Times New Roman" w:cs="Times New Roman"/>
      <w:sz w:val="20"/>
      <w:lang w:val="en-US" w:bidi="ar-SA"/>
    </w:rPr>
  </w:style>
  <w:style w:type="paragraph" w:styleId="ListParagraph">
    <w:name w:val="List Paragraph"/>
    <w:basedOn w:val="Normal"/>
    <w:uiPriority w:val="1"/>
    <w:qFormat/>
    <w:rsid w:val="008B26D4"/>
    <w:pPr>
      <w:widowControl w:val="0"/>
      <w:autoSpaceDE w:val="0"/>
      <w:autoSpaceDN w:val="0"/>
      <w:spacing w:after="0" w:line="240" w:lineRule="auto"/>
      <w:ind w:left="383"/>
    </w:pPr>
    <w:rPr>
      <w:rFonts w:ascii="Times New Roman" w:eastAsia="Times New Roman" w:hAnsi="Times New Roman" w:cs="Times New Roman"/>
      <w:lang w:val="en-US"/>
    </w:rPr>
  </w:style>
  <w:style w:type="character" w:customStyle="1" w:styleId="TitleChar">
    <w:name w:val="Title Char"/>
    <w:basedOn w:val="DefaultParagraphFont"/>
    <w:link w:val="Title"/>
    <w:uiPriority w:val="10"/>
    <w:rsid w:val="008B26D4"/>
    <w:rPr>
      <w:rFonts w:ascii="Times New Roman" w:eastAsia="Times New Roman" w:hAnsi="Times New Roman" w:cs="Times New Roman"/>
      <w:sz w:val="60"/>
      <w:szCs w:val="60"/>
      <w:lang w:val="en-US" w:bidi="ar-SA"/>
    </w:rPr>
  </w:style>
  <w:style w:type="character" w:styleId="Hyperlink">
    <w:name w:val="Hyperlink"/>
    <w:basedOn w:val="DefaultParagraphFont"/>
    <w:uiPriority w:val="99"/>
    <w:unhideWhenUsed/>
    <w:rsid w:val="0091156E"/>
    <w:rPr>
      <w:color w:val="0000FF" w:themeColor="hyperlink"/>
      <w:u w:val="single"/>
    </w:rPr>
  </w:style>
  <w:style w:type="paragraph" w:styleId="NormalWeb">
    <w:name w:val="Normal (Web)"/>
    <w:basedOn w:val="Normal"/>
    <w:uiPriority w:val="99"/>
    <w:unhideWhenUsed/>
    <w:rsid w:val="009115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1156E"/>
    <w:rPr>
      <w:b/>
      <w:bCs/>
    </w:rPr>
  </w:style>
  <w:style w:type="character" w:customStyle="1" w:styleId="Heading3Char">
    <w:name w:val="Heading 3 Char"/>
    <w:basedOn w:val="DefaultParagraphFont"/>
    <w:link w:val="Heading3"/>
    <w:uiPriority w:val="1"/>
    <w:rsid w:val="00C466C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C524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C5249"/>
    <w:rPr>
      <w:rFonts w:ascii="Tahoma" w:hAnsi="Tahoma" w:cs="Mangal"/>
      <w:sz w:val="16"/>
      <w:szCs w:val="14"/>
    </w:rPr>
  </w:style>
  <w:style w:type="character" w:customStyle="1" w:styleId="Heading2Char">
    <w:name w:val="Heading 2 Char"/>
    <w:basedOn w:val="DefaultParagraphFont"/>
    <w:link w:val="Heading2"/>
    <w:uiPriority w:val="9"/>
    <w:semiHidden/>
    <w:rsid w:val="00FF1C49"/>
    <w:rPr>
      <w:rFonts w:asciiTheme="majorHAnsi" w:eastAsiaTheme="majorEastAsia" w:hAnsiTheme="majorHAnsi" w:cstheme="majorBidi"/>
      <w:b/>
      <w:bCs/>
      <w:color w:val="4F81BD" w:themeColor="accent1"/>
      <w:sz w:val="26"/>
      <w:szCs w:val="26"/>
      <w:lang w:val="en-US" w:bidi="ar-SA"/>
    </w:rPr>
  </w:style>
  <w:style w:type="character" w:customStyle="1" w:styleId="Heading4Char">
    <w:name w:val="Heading 4 Char"/>
    <w:basedOn w:val="DefaultParagraphFont"/>
    <w:link w:val="Heading4"/>
    <w:uiPriority w:val="9"/>
    <w:semiHidden/>
    <w:rsid w:val="00FF1C49"/>
    <w:rPr>
      <w:rFonts w:asciiTheme="majorHAnsi" w:eastAsiaTheme="majorEastAsia" w:hAnsiTheme="majorHAnsi" w:cstheme="majorBidi"/>
      <w:b/>
      <w:bCs/>
      <w:i/>
      <w:iCs/>
      <w:color w:val="4F81BD" w:themeColor="accent1"/>
      <w:szCs w:val="22"/>
      <w:lang w:val="en-US" w:bidi="ar-SA"/>
    </w:rPr>
  </w:style>
  <w:style w:type="character" w:styleId="Emphasis">
    <w:name w:val="Emphasis"/>
    <w:basedOn w:val="DefaultParagraphFont"/>
    <w:uiPriority w:val="20"/>
    <w:qFormat/>
    <w:rsid w:val="00FF1C49"/>
    <w:rPr>
      <w:i/>
      <w:iCs/>
    </w:rPr>
  </w:style>
  <w:style w:type="character" w:customStyle="1" w:styleId="fontstyle01">
    <w:name w:val="fontstyle01"/>
    <w:basedOn w:val="DefaultParagraphFont"/>
    <w:rsid w:val="00B71BA5"/>
    <w:rPr>
      <w:b/>
      <w:bCs/>
      <w:i w:val="0"/>
      <w:iCs w:val="0"/>
      <w:color w:val="466CB2"/>
      <w:sz w:val="26"/>
      <w:szCs w:val="26"/>
    </w:rPr>
  </w:style>
  <w:style w:type="character" w:customStyle="1" w:styleId="fontstyle21">
    <w:name w:val="fontstyle21"/>
    <w:basedOn w:val="DefaultParagraphFont"/>
    <w:rsid w:val="00B71BA5"/>
    <w:rPr>
      <w:rFonts w:ascii="TimesNewRomanPSMT-Identity-H" w:hAnsi="TimesNewRomanPSMT-Identity-H" w:hint="default"/>
      <w:b w:val="0"/>
      <w:bCs w:val="0"/>
      <w:i w:val="0"/>
      <w:iCs w:val="0"/>
      <w:color w:val="000000"/>
      <w:sz w:val="20"/>
      <w:szCs w:val="20"/>
    </w:rPr>
  </w:style>
  <w:style w:type="paragraph" w:styleId="Footer">
    <w:name w:val="footer"/>
    <w:basedOn w:val="Normal"/>
    <w:link w:val="FooterChar"/>
    <w:uiPriority w:val="99"/>
    <w:rsid w:val="00F805D4"/>
    <w:pPr>
      <w:tabs>
        <w:tab w:val="center" w:pos="4320"/>
        <w:tab w:val="right" w:pos="8640"/>
      </w:tabs>
      <w:spacing w:after="0" w:line="240" w:lineRule="auto"/>
    </w:pPr>
    <w:rPr>
      <w:rFonts w:ascii="Times New Roman" w:eastAsia="Times New Roman" w:hAnsi="Times New Roman" w:cs="Times New Roman"/>
      <w:sz w:val="20"/>
      <w:lang w:val="en-US"/>
    </w:rPr>
  </w:style>
  <w:style w:type="character" w:customStyle="1" w:styleId="FooterChar">
    <w:name w:val="Footer Char"/>
    <w:basedOn w:val="DefaultParagraphFont"/>
    <w:link w:val="Footer"/>
    <w:uiPriority w:val="99"/>
    <w:rsid w:val="00F805D4"/>
    <w:rPr>
      <w:rFonts w:ascii="Times New Roman" w:eastAsia="Times New Roman" w:hAnsi="Times New Roman" w:cs="Times New Roman"/>
      <w:sz w:val="20"/>
      <w:lang w:val="en-US" w:bidi="ar-SA"/>
    </w:rPr>
  </w:style>
  <w:style w:type="character" w:styleId="LineNumber">
    <w:name w:val="line number"/>
    <w:basedOn w:val="DefaultParagraphFont"/>
    <w:uiPriority w:val="99"/>
    <w:semiHidden/>
    <w:unhideWhenUsed/>
    <w:rsid w:val="00FF08D5"/>
  </w:style>
  <w:style w:type="paragraph" w:styleId="Header">
    <w:name w:val="header"/>
    <w:basedOn w:val="Normal"/>
    <w:link w:val="HeaderChar"/>
    <w:uiPriority w:val="99"/>
    <w:semiHidden/>
    <w:unhideWhenUsed/>
    <w:rsid w:val="00FF08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08D5"/>
  </w:style>
  <w:style w:type="character" w:styleId="FollowedHyperlink">
    <w:name w:val="FollowedHyperlink"/>
    <w:basedOn w:val="DefaultParagraphFont"/>
    <w:uiPriority w:val="99"/>
    <w:semiHidden/>
    <w:unhideWhenUsed/>
    <w:rsid w:val="00FB624F"/>
    <w:rPr>
      <w:color w:val="800080" w:themeColor="followedHyperlink"/>
      <w:u w:val="single"/>
    </w:rPr>
  </w:style>
  <w:style w:type="paragraph" w:customStyle="1" w:styleId="Normal10">
    <w:name w:val="Normal1"/>
    <w:rsid w:val="00103E94"/>
    <w:rPr>
      <w:lang w:val="en-US"/>
    </w:rPr>
  </w:style>
  <w:style w:type="paragraph" w:customStyle="1" w:styleId="Normal11">
    <w:name w:val="Normal1"/>
    <w:rsid w:val="00103E94"/>
    <w:rPr>
      <w:lang w:val="en-US"/>
    </w:rPr>
  </w:style>
  <w:style w:type="paragraph" w:customStyle="1" w:styleId="Default">
    <w:name w:val="Default"/>
    <w:rsid w:val="00103E94"/>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6562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30581"/>
    <w:pPr>
      <w:spacing w:after="0" w:line="240" w:lineRule="auto"/>
    </w:pPr>
    <w:rPr>
      <w:rFonts w:cs="Mangal"/>
    </w:rPr>
  </w:style>
  <w:style w:type="paragraph" w:customStyle="1" w:styleId="m-7825157238420199369gmail-default">
    <w:name w:val="m_-7825157238420199369gmail-default"/>
    <w:basedOn w:val="Normal"/>
    <w:rsid w:val="009225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825157238420199369gmail-msolistparagraph">
    <w:name w:val="m_-7825157238420199369gmail-msolistparagraph"/>
    <w:basedOn w:val="Normal"/>
    <w:rsid w:val="009225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
    <w:name w:val="p"/>
    <w:basedOn w:val="Normal"/>
    <w:rsid w:val="00A9173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9dxtc">
    <w:name w:val="c9dxtc"/>
    <w:basedOn w:val="DefaultParagraphFont"/>
    <w:rsid w:val="00AB24CF"/>
  </w:style>
  <w:style w:type="paragraph" w:styleId="Subtitle">
    <w:name w:val="Subtitle"/>
    <w:basedOn w:val="Normal"/>
    <w:next w:val="Normal"/>
    <w:rsid w:val="00BD1F1F"/>
    <w:pPr>
      <w:keepNext/>
      <w:keepLines/>
      <w:spacing w:before="360" w:after="80"/>
    </w:pPr>
    <w:rPr>
      <w:rFonts w:ascii="Georgia" w:eastAsia="Georgia" w:hAnsi="Georgia" w:cs="Georgia"/>
      <w:i/>
      <w:color w:val="666666"/>
      <w:sz w:val="48"/>
      <w:szCs w:val="48"/>
    </w:rPr>
  </w:style>
  <w:style w:type="table" w:customStyle="1" w:styleId="a">
    <w:basedOn w:val="TableNormal"/>
    <w:rsid w:val="00CC2A60"/>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C2A60"/>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C2A60"/>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C2A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D1F1F"/>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BD1F1F"/>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3339226">
      <w:bodyDiv w:val="1"/>
      <w:marLeft w:val="0"/>
      <w:marRight w:val="0"/>
      <w:marTop w:val="0"/>
      <w:marBottom w:val="0"/>
      <w:divBdr>
        <w:top w:val="none" w:sz="0" w:space="0" w:color="auto"/>
        <w:left w:val="none" w:sz="0" w:space="0" w:color="auto"/>
        <w:bottom w:val="none" w:sz="0" w:space="0" w:color="auto"/>
        <w:right w:val="none" w:sz="0" w:space="0" w:color="auto"/>
      </w:divBdr>
      <w:divsChild>
        <w:div w:id="1118528978">
          <w:marLeft w:val="0"/>
          <w:marRight w:val="0"/>
          <w:marTop w:val="0"/>
          <w:marBottom w:val="0"/>
          <w:divBdr>
            <w:top w:val="none" w:sz="0" w:space="0" w:color="auto"/>
            <w:left w:val="none" w:sz="0" w:space="0" w:color="auto"/>
            <w:bottom w:val="none" w:sz="0" w:space="0" w:color="auto"/>
            <w:right w:val="none" w:sz="0" w:space="0" w:color="auto"/>
          </w:divBdr>
        </w:div>
        <w:div w:id="1541897467">
          <w:marLeft w:val="0"/>
          <w:marRight w:val="0"/>
          <w:marTop w:val="0"/>
          <w:marBottom w:val="0"/>
          <w:divBdr>
            <w:top w:val="none" w:sz="0" w:space="0" w:color="auto"/>
            <w:left w:val="none" w:sz="0" w:space="0" w:color="auto"/>
            <w:bottom w:val="none" w:sz="0" w:space="0" w:color="auto"/>
            <w:right w:val="none" w:sz="0" w:space="0" w:color="auto"/>
          </w:divBdr>
        </w:div>
        <w:div w:id="14819665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itrpr.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dadmissions@iitrpr.a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sb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itrpr.ac.in/phd-admissions" TargetMode="External"/><Relationship Id="rId4" Type="http://schemas.openxmlformats.org/officeDocument/2006/relationships/settings" Target="settings.xml"/><Relationship Id="rId9" Type="http://schemas.openxmlformats.org/officeDocument/2006/relationships/hyperlink" Target="https://s3fs.dl6.in/phd/Prod/6-9-2023/1697172525470Guidelines%20Scheme_Phase-II.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nZcS3YpcSq2IQYMs7DP70fKog==">CgMxLjAyDmgubGx2YXBtMmd3Z3NtOAByITFTMjZTU0ZYWTg1ZURJQkk1NEtXbjM5UkFFWGJGbXhIaQ==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Poonam</dc:creator>
  <cp:lastModifiedBy>PA TO REGISTRAR</cp:lastModifiedBy>
  <cp:revision>2</cp:revision>
  <dcterms:created xsi:type="dcterms:W3CDTF">2024-05-30T06:00:00Z</dcterms:created>
  <dcterms:modified xsi:type="dcterms:W3CDTF">2024-05-30T06:00:00Z</dcterms:modified>
</cp:coreProperties>
</file>